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431B9" w14:textId="1BB8D001" w:rsidR="00D86C1E" w:rsidRPr="00AE6E48" w:rsidRDefault="001D4E0C" w:rsidP="00AE6E48">
      <w:pPr>
        <w:spacing w:before="1160" w:after="100" w:afterAutospacing="1" w:line="360" w:lineRule="auto"/>
        <w:contextualSpacing/>
        <w:rPr>
          <w:rFonts w:ascii="Times New Roman" w:eastAsia="Times New Roman" w:hAnsi="Times New Roman" w:cs="Times New Roman"/>
          <w:color w:val="000000"/>
        </w:rPr>
      </w:pPr>
      <w:r w:rsidRPr="00894E46">
        <w:rPr>
          <w:rFonts w:ascii="Times New Roman" w:eastAsia="Times New Roman" w:hAnsi="Times New Roman" w:cs="Times New Roman"/>
          <w:color w:val="000000"/>
        </w:rPr>
        <w:t> </w:t>
      </w:r>
      <w:r w:rsidR="00D86C1E" w:rsidRPr="00D86C1E">
        <w:rPr>
          <w:rFonts w:ascii="Times New Roman" w:hAnsi="Times New Roman" w:cs="Times New Roman"/>
          <w:b/>
          <w:color w:val="000000" w:themeColor="text1"/>
          <w:sz w:val="28"/>
          <w:szCs w:val="28"/>
        </w:rPr>
        <w:t>RESEARCHING EHR SYSTEMS WITH A PATIENT EDUCATION COMPONENT</w:t>
      </w:r>
    </w:p>
    <w:p w14:paraId="6F7431BA" w14:textId="77777777" w:rsidR="00215895" w:rsidRPr="00215895" w:rsidRDefault="00215895" w:rsidP="00F1758F">
      <w:pPr>
        <w:spacing w:line="360" w:lineRule="auto"/>
      </w:pPr>
    </w:p>
    <w:p w14:paraId="6F7431BB" w14:textId="77777777" w:rsidR="00D86C1E" w:rsidRDefault="00D86C1E" w:rsidP="00F1758F">
      <w:pPr>
        <w:spacing w:before="100" w:beforeAutospacing="1" w:after="100" w:afterAutospacing="1"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Kristen Lynn Burgess</w:t>
      </w:r>
    </w:p>
    <w:p w14:paraId="6F7431BC" w14:textId="77777777" w:rsidR="00D86C1E" w:rsidRPr="009319AD" w:rsidRDefault="00D86C1E"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sidRPr="009319AD">
        <w:rPr>
          <w:rFonts w:ascii="Times New Roman" w:eastAsia="Times New Roman" w:hAnsi="Times New Roman" w:cs="Times New Roman"/>
          <w:color w:val="000000"/>
          <w:sz w:val="24"/>
          <w:szCs w:val="24"/>
        </w:rPr>
        <w:t>Associate Fellow 2010 – 2011</w:t>
      </w:r>
    </w:p>
    <w:p w14:paraId="6F7431BD" w14:textId="77777777" w:rsidR="00D86C1E" w:rsidRPr="009319AD" w:rsidRDefault="00D86C1E"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sidRPr="009319AD">
        <w:rPr>
          <w:rFonts w:ascii="Times New Roman" w:eastAsia="Times New Roman" w:hAnsi="Times New Roman" w:cs="Times New Roman"/>
          <w:color w:val="000000"/>
          <w:sz w:val="24"/>
          <w:szCs w:val="24"/>
        </w:rPr>
        <w:t>National Library of Medicine</w:t>
      </w:r>
    </w:p>
    <w:p w14:paraId="6F7431BE" w14:textId="77777777" w:rsidR="00D86C1E" w:rsidRDefault="00D86C1E" w:rsidP="00F1758F">
      <w:pPr>
        <w:spacing w:before="100" w:beforeAutospacing="1" w:after="100" w:afterAutospacing="1" w:line="360" w:lineRule="auto"/>
        <w:contextualSpacing/>
        <w:rPr>
          <w:rFonts w:ascii="Times New Roman" w:eastAsia="Times New Roman" w:hAnsi="Times New Roman" w:cs="Times New Roman"/>
          <w:b/>
          <w:color w:val="000000"/>
          <w:sz w:val="24"/>
          <w:szCs w:val="24"/>
        </w:rPr>
      </w:pPr>
    </w:p>
    <w:p w14:paraId="6F7431BF" w14:textId="77777777" w:rsidR="00D86C1E" w:rsidRDefault="00D86C1E" w:rsidP="00F1758F">
      <w:pPr>
        <w:spacing w:before="100" w:beforeAutospacing="1" w:after="100" w:afterAutospacing="1" w:line="360" w:lineRule="auto"/>
        <w:contextualSpacing/>
        <w:rPr>
          <w:rFonts w:ascii="Times New Roman" w:eastAsia="Times New Roman" w:hAnsi="Times New Roman" w:cs="Times New Roman"/>
          <w:b/>
          <w:color w:val="000000"/>
          <w:sz w:val="24"/>
          <w:szCs w:val="24"/>
        </w:rPr>
      </w:pPr>
    </w:p>
    <w:p w14:paraId="6F7431C0" w14:textId="77777777" w:rsidR="00D86C1E" w:rsidRPr="00BC7E99" w:rsidRDefault="00D86C1E" w:rsidP="00F1758F">
      <w:pPr>
        <w:spacing w:before="100" w:beforeAutospacing="1" w:after="100" w:afterAutospacing="1"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w:t>
      </w:r>
      <w:r w:rsidRPr="00BC7E99">
        <w:rPr>
          <w:rFonts w:ascii="Times New Roman" w:eastAsia="Times New Roman" w:hAnsi="Times New Roman" w:cs="Times New Roman"/>
          <w:b/>
          <w:color w:val="000000"/>
          <w:sz w:val="24"/>
          <w:szCs w:val="24"/>
        </w:rPr>
        <w:t xml:space="preserve"> 2011</w:t>
      </w:r>
    </w:p>
    <w:p w14:paraId="6F7431C1" w14:textId="77777777" w:rsidR="00D86C1E" w:rsidRDefault="00D86C1E" w:rsidP="00F1758F">
      <w:pPr>
        <w:spacing w:before="100" w:beforeAutospacing="1" w:after="100" w:afterAutospacing="1" w:line="360" w:lineRule="auto"/>
        <w:contextualSpacing/>
        <w:rPr>
          <w:rFonts w:ascii="Times New Roman" w:eastAsia="Times New Roman" w:hAnsi="Times New Roman" w:cs="Times New Roman"/>
          <w:b/>
          <w:color w:val="000000"/>
          <w:sz w:val="24"/>
          <w:szCs w:val="24"/>
        </w:rPr>
      </w:pPr>
    </w:p>
    <w:p w14:paraId="6F7431C2" w14:textId="77777777" w:rsidR="00D86C1E" w:rsidRDefault="00D86C1E" w:rsidP="00F1758F">
      <w:pPr>
        <w:spacing w:before="100" w:beforeAutospacing="1" w:after="100" w:afterAutospacing="1" w:line="360" w:lineRule="auto"/>
        <w:contextualSpacing/>
        <w:rPr>
          <w:rFonts w:ascii="Times New Roman" w:eastAsia="Times New Roman" w:hAnsi="Times New Roman" w:cs="Times New Roman"/>
          <w:b/>
          <w:color w:val="000000"/>
          <w:sz w:val="24"/>
          <w:szCs w:val="24"/>
        </w:rPr>
      </w:pPr>
    </w:p>
    <w:p w14:paraId="6F7431C3" w14:textId="77777777" w:rsidR="00D86C1E" w:rsidRDefault="00D86C1E" w:rsidP="00F1758F">
      <w:pPr>
        <w:spacing w:before="100" w:beforeAutospacing="1" w:after="100" w:afterAutospacing="1"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 LEADERS:</w:t>
      </w:r>
    </w:p>
    <w:p w14:paraId="6F7431C4" w14:textId="77777777" w:rsidR="00D86C1E" w:rsidRDefault="00D86C1E"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sidRPr="009319AD">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 xml:space="preserve">oyce Backus, </w:t>
      </w:r>
      <w:r w:rsidRPr="00240A82">
        <w:rPr>
          <w:rFonts w:ascii="Times New Roman" w:eastAsia="Times New Roman" w:hAnsi="Times New Roman" w:cs="Times New Roman"/>
          <w:i/>
          <w:color w:val="000000"/>
          <w:sz w:val="24"/>
          <w:szCs w:val="24"/>
        </w:rPr>
        <w:t>Deputy, Public Services Division</w:t>
      </w:r>
    </w:p>
    <w:p w14:paraId="6F7431C5" w14:textId="77777777" w:rsidR="00574EDB" w:rsidRDefault="00574EDB" w:rsidP="00240A82">
      <w:pPr>
        <w:spacing w:before="100" w:beforeAutospacing="1" w:after="100" w:afterAutospacing="1"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Stephanie Dennis, </w:t>
      </w:r>
      <w:r w:rsidR="00240A82" w:rsidRPr="00240A82">
        <w:rPr>
          <w:rFonts w:ascii="Times New Roman" w:eastAsia="Times New Roman" w:hAnsi="Times New Roman" w:cs="Times New Roman"/>
          <w:i/>
          <w:color w:val="000000"/>
          <w:sz w:val="24"/>
          <w:szCs w:val="24"/>
        </w:rPr>
        <w:t>Technical Information Specialist, Reference and Web Services, Public Service Division</w:t>
      </w:r>
    </w:p>
    <w:p w14:paraId="6F7431C8" w14:textId="2A65B85D" w:rsidR="00DA2437" w:rsidRPr="00AE6E48" w:rsidRDefault="00D86C1E" w:rsidP="00AE6E48">
      <w:pPr>
        <w:spacing w:before="100" w:beforeAutospacing="1" w:after="100" w:afterAutospacing="1" w:line="360" w:lineRule="auto"/>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Naomi Miller, </w:t>
      </w:r>
      <w:r w:rsidRPr="00240A82">
        <w:rPr>
          <w:rFonts w:ascii="Times New Roman" w:eastAsia="Times New Roman" w:hAnsi="Times New Roman" w:cs="Times New Roman"/>
          <w:i/>
          <w:color w:val="000000"/>
          <w:sz w:val="24"/>
          <w:szCs w:val="24"/>
        </w:rPr>
        <w:t>Manager, Consumer Health Information, Public Services Division</w:t>
      </w:r>
      <w:r w:rsidR="00DA2437">
        <w:rPr>
          <w:rFonts w:ascii="Times New Roman" w:eastAsia="Times New Roman" w:hAnsi="Times New Roman" w:cs="Times New Roman"/>
          <w:b/>
          <w:bCs/>
          <w:color w:val="000000"/>
        </w:rPr>
        <w:br w:type="page"/>
      </w:r>
    </w:p>
    <w:p w14:paraId="6F7431C9" w14:textId="77777777" w:rsidR="00E50699" w:rsidRDefault="00DA2437" w:rsidP="00F1758F">
      <w:pPr>
        <w:spacing w:line="360" w:lineRule="auto"/>
        <w:contextualSpacing/>
        <w:rPr>
          <w:rFonts w:ascii="Times New Roman" w:eastAsia="Times New Roman" w:hAnsi="Times New Roman" w:cs="Times New Roman"/>
          <w:b/>
          <w:bCs/>
          <w:color w:val="000000"/>
          <w:sz w:val="28"/>
          <w:szCs w:val="28"/>
        </w:rPr>
      </w:pPr>
      <w:r w:rsidRPr="00DA2437">
        <w:rPr>
          <w:rFonts w:ascii="Times New Roman" w:eastAsia="Times New Roman" w:hAnsi="Times New Roman" w:cs="Times New Roman"/>
          <w:b/>
          <w:bCs/>
          <w:color w:val="000000"/>
          <w:sz w:val="28"/>
          <w:szCs w:val="28"/>
        </w:rPr>
        <w:lastRenderedPageBreak/>
        <w:t>Acknowledgements</w:t>
      </w:r>
    </w:p>
    <w:p w14:paraId="6F7431CA" w14:textId="77777777" w:rsidR="00E50699" w:rsidRDefault="00E50699" w:rsidP="00F1758F">
      <w:pPr>
        <w:spacing w:line="360" w:lineRule="auto"/>
        <w:contextualSpacing/>
        <w:rPr>
          <w:rFonts w:ascii="Times New Roman" w:eastAsia="Times New Roman" w:hAnsi="Times New Roman" w:cs="Times New Roman"/>
          <w:b/>
          <w:bCs/>
          <w:color w:val="000000"/>
          <w:sz w:val="28"/>
          <w:szCs w:val="28"/>
        </w:rPr>
      </w:pPr>
    </w:p>
    <w:p w14:paraId="6F7431CB" w14:textId="77777777" w:rsidR="001D4E0C" w:rsidRPr="00E50699" w:rsidRDefault="00E50699" w:rsidP="00F1758F">
      <w:pPr>
        <w:spacing w:line="360" w:lineRule="auto"/>
        <w:contextualSpacing/>
        <w:rPr>
          <w:rFonts w:ascii="Times New Roman" w:eastAsia="Times New Roman" w:hAnsi="Times New Roman" w:cs="Times New Roman"/>
          <w:bCs/>
          <w:color w:val="000000"/>
          <w:sz w:val="24"/>
          <w:szCs w:val="24"/>
        </w:rPr>
      </w:pPr>
      <w:r w:rsidRPr="00E50699">
        <w:rPr>
          <w:rFonts w:ascii="Times New Roman" w:eastAsia="Times New Roman" w:hAnsi="Times New Roman" w:cs="Times New Roman"/>
          <w:bCs/>
          <w:color w:val="000000"/>
          <w:sz w:val="24"/>
          <w:szCs w:val="24"/>
        </w:rPr>
        <w:t xml:space="preserve">I would like to thank my project leaders </w:t>
      </w:r>
      <w:r>
        <w:rPr>
          <w:rFonts w:ascii="Times New Roman" w:eastAsia="Times New Roman" w:hAnsi="Times New Roman" w:cs="Times New Roman"/>
          <w:bCs/>
          <w:color w:val="000000"/>
          <w:sz w:val="24"/>
          <w:szCs w:val="24"/>
        </w:rPr>
        <w:t xml:space="preserve">Joyce Backus, </w:t>
      </w:r>
      <w:r w:rsidR="00574EDB">
        <w:rPr>
          <w:rFonts w:ascii="Times New Roman" w:eastAsia="Times New Roman" w:hAnsi="Times New Roman" w:cs="Times New Roman"/>
          <w:bCs/>
          <w:color w:val="000000"/>
          <w:sz w:val="24"/>
          <w:szCs w:val="24"/>
        </w:rPr>
        <w:t xml:space="preserve">Stephanie Dennis, and </w:t>
      </w:r>
      <w:r>
        <w:rPr>
          <w:rFonts w:ascii="Times New Roman" w:eastAsia="Times New Roman" w:hAnsi="Times New Roman" w:cs="Times New Roman"/>
          <w:bCs/>
          <w:color w:val="000000"/>
          <w:sz w:val="24"/>
          <w:szCs w:val="24"/>
        </w:rPr>
        <w:t xml:space="preserve">Naomi </w:t>
      </w:r>
      <w:r w:rsidR="00574EDB">
        <w:rPr>
          <w:rFonts w:ascii="Times New Roman" w:eastAsia="Times New Roman" w:hAnsi="Times New Roman" w:cs="Times New Roman"/>
          <w:bCs/>
          <w:color w:val="000000"/>
          <w:sz w:val="24"/>
          <w:szCs w:val="24"/>
        </w:rPr>
        <w:t>Miller who</w:t>
      </w:r>
      <w:r>
        <w:rPr>
          <w:rFonts w:ascii="Times New Roman" w:eastAsia="Times New Roman" w:hAnsi="Times New Roman" w:cs="Times New Roman"/>
          <w:bCs/>
          <w:color w:val="000000"/>
          <w:sz w:val="24"/>
          <w:szCs w:val="24"/>
        </w:rPr>
        <w:t xml:space="preserve"> provided wonderful </w:t>
      </w:r>
      <w:r w:rsidR="008F187B">
        <w:rPr>
          <w:rFonts w:ascii="Times New Roman" w:eastAsia="Times New Roman" w:hAnsi="Times New Roman" w:cs="Times New Roman"/>
          <w:bCs/>
          <w:color w:val="000000"/>
          <w:sz w:val="24"/>
          <w:szCs w:val="24"/>
        </w:rPr>
        <w:t>leadership</w:t>
      </w:r>
      <w:r>
        <w:rPr>
          <w:rFonts w:ascii="Times New Roman" w:eastAsia="Times New Roman" w:hAnsi="Times New Roman" w:cs="Times New Roman"/>
          <w:bCs/>
          <w:color w:val="000000"/>
          <w:sz w:val="24"/>
          <w:szCs w:val="24"/>
        </w:rPr>
        <w:t xml:space="preserve">, instruction, and feedback </w:t>
      </w:r>
      <w:r w:rsidR="00CD1786">
        <w:rPr>
          <w:rFonts w:ascii="Times New Roman" w:eastAsia="Times New Roman" w:hAnsi="Times New Roman" w:cs="Times New Roman"/>
          <w:bCs/>
          <w:color w:val="000000"/>
          <w:sz w:val="24"/>
          <w:szCs w:val="24"/>
        </w:rPr>
        <w:t>for my fall project.</w:t>
      </w:r>
      <w:r>
        <w:rPr>
          <w:rFonts w:ascii="Times New Roman" w:eastAsia="Times New Roman" w:hAnsi="Times New Roman" w:cs="Times New Roman"/>
          <w:bCs/>
          <w:color w:val="000000"/>
          <w:sz w:val="24"/>
          <w:szCs w:val="24"/>
        </w:rPr>
        <w:t xml:space="preserve"> </w:t>
      </w:r>
      <w:r w:rsidR="008F187B">
        <w:rPr>
          <w:rFonts w:ascii="Times New Roman" w:eastAsia="Times New Roman" w:hAnsi="Times New Roman" w:cs="Times New Roman"/>
          <w:bCs/>
          <w:color w:val="000000"/>
          <w:sz w:val="24"/>
          <w:szCs w:val="24"/>
        </w:rPr>
        <w:t xml:space="preserve">In addition, I </w:t>
      </w:r>
      <w:r>
        <w:rPr>
          <w:rFonts w:ascii="Times New Roman" w:eastAsia="Times New Roman" w:hAnsi="Times New Roman" w:cs="Times New Roman"/>
          <w:bCs/>
          <w:color w:val="000000"/>
          <w:sz w:val="24"/>
          <w:szCs w:val="24"/>
        </w:rPr>
        <w:t xml:space="preserve">thank Kathel Dunn for her </w:t>
      </w:r>
      <w:r w:rsidR="008F187B">
        <w:rPr>
          <w:rFonts w:ascii="Times New Roman" w:eastAsia="Times New Roman" w:hAnsi="Times New Roman" w:cs="Times New Roman"/>
          <w:bCs/>
          <w:color w:val="000000"/>
          <w:sz w:val="24"/>
          <w:szCs w:val="24"/>
        </w:rPr>
        <w:t xml:space="preserve">guidance </w:t>
      </w:r>
      <w:r>
        <w:rPr>
          <w:rFonts w:ascii="Times New Roman" w:eastAsia="Times New Roman" w:hAnsi="Times New Roman" w:cs="Times New Roman"/>
          <w:bCs/>
          <w:color w:val="000000"/>
          <w:sz w:val="24"/>
          <w:szCs w:val="24"/>
        </w:rPr>
        <w:t>and assistance</w:t>
      </w:r>
      <w:r w:rsidR="008F187B">
        <w:rPr>
          <w:rFonts w:ascii="Times New Roman" w:eastAsia="Times New Roman" w:hAnsi="Times New Roman" w:cs="Times New Roman"/>
          <w:bCs/>
          <w:color w:val="000000"/>
          <w:sz w:val="24"/>
          <w:szCs w:val="24"/>
        </w:rPr>
        <w:t xml:space="preserve"> as the Associate Fellowship Coordinator, and the 2010 – 2011 class of NLM Associate Fellows for their encouragement. Lastly, I thank Dr. Donald A.B. Lindberg, Betsy Humphreys, Sheldon Kotzin, and Becky Lyon, for their support of the NLM Associate Fellowship Program. </w:t>
      </w:r>
      <w:r w:rsidR="001D4E0C" w:rsidRPr="00E50699">
        <w:rPr>
          <w:rFonts w:ascii="Times New Roman" w:eastAsia="Times New Roman" w:hAnsi="Times New Roman" w:cs="Times New Roman"/>
          <w:bCs/>
          <w:color w:val="000000"/>
          <w:sz w:val="24"/>
          <w:szCs w:val="24"/>
        </w:rPr>
        <w:br w:type="page"/>
      </w:r>
    </w:p>
    <w:sdt>
      <w:sdtPr>
        <w:rPr>
          <w:rFonts w:ascii="Times New Roman" w:eastAsiaTheme="minorEastAsia" w:hAnsi="Times New Roman" w:cs="Times New Roman"/>
          <w:b w:val="0"/>
          <w:bCs w:val="0"/>
          <w:color w:val="auto"/>
          <w:sz w:val="22"/>
          <w:szCs w:val="22"/>
          <w:lang w:eastAsia="ja-JP"/>
        </w:rPr>
        <w:id w:val="2633797"/>
        <w:docPartObj>
          <w:docPartGallery w:val="Table of Contents"/>
          <w:docPartUnique/>
        </w:docPartObj>
      </w:sdtPr>
      <w:sdtEndPr/>
      <w:sdtContent>
        <w:p w14:paraId="6F7431CC" w14:textId="77777777" w:rsidR="00A374F8" w:rsidRPr="00F13F99" w:rsidRDefault="00A374F8" w:rsidP="00F1758F">
          <w:pPr>
            <w:pStyle w:val="TOCHeading"/>
            <w:spacing w:line="360" w:lineRule="auto"/>
            <w:contextualSpacing/>
            <w:rPr>
              <w:rFonts w:ascii="Times New Roman" w:eastAsiaTheme="minorEastAsia" w:hAnsi="Times New Roman" w:cs="Times New Roman"/>
              <w:b w:val="0"/>
              <w:bCs w:val="0"/>
              <w:color w:val="auto"/>
              <w:sz w:val="22"/>
              <w:szCs w:val="22"/>
              <w:lang w:eastAsia="ja-JP"/>
            </w:rPr>
          </w:pPr>
          <w:r w:rsidRPr="00896265">
            <w:rPr>
              <w:rFonts w:ascii="Times New Roman" w:hAnsi="Times New Roman" w:cs="Times New Roman"/>
              <w:color w:val="auto"/>
            </w:rPr>
            <w:t>Table of Contents</w:t>
          </w:r>
        </w:p>
        <w:p w14:paraId="6F7431CD" w14:textId="77777777" w:rsidR="0063376F" w:rsidRPr="004D3507" w:rsidRDefault="00DE1520">
          <w:pPr>
            <w:pStyle w:val="TOC1"/>
            <w:tabs>
              <w:tab w:val="right" w:leader="dot" w:pos="9350"/>
            </w:tabs>
            <w:rPr>
              <w:rFonts w:ascii="Times New Roman" w:hAnsi="Times New Roman" w:cs="Times New Roman"/>
              <w:noProof/>
              <w:sz w:val="24"/>
              <w:szCs w:val="24"/>
              <w:lang w:eastAsia="ja-JP"/>
            </w:rPr>
          </w:pPr>
          <w:r w:rsidRPr="004D3507">
            <w:rPr>
              <w:rFonts w:ascii="Times New Roman" w:hAnsi="Times New Roman" w:cs="Times New Roman"/>
              <w:sz w:val="24"/>
              <w:szCs w:val="24"/>
            </w:rPr>
            <w:fldChar w:fldCharType="begin"/>
          </w:r>
          <w:r w:rsidR="00A374F8" w:rsidRPr="004D3507">
            <w:rPr>
              <w:rFonts w:ascii="Times New Roman" w:hAnsi="Times New Roman" w:cs="Times New Roman"/>
              <w:sz w:val="24"/>
              <w:szCs w:val="24"/>
            </w:rPr>
            <w:instrText xml:space="preserve"> TOC \o "1-3" \h \z \u </w:instrText>
          </w:r>
          <w:r w:rsidRPr="004D3507">
            <w:rPr>
              <w:rFonts w:ascii="Times New Roman" w:hAnsi="Times New Roman" w:cs="Times New Roman"/>
              <w:sz w:val="24"/>
              <w:szCs w:val="24"/>
            </w:rPr>
            <w:fldChar w:fldCharType="separate"/>
          </w:r>
          <w:hyperlink w:anchor="_Toc284948706" w:history="1">
            <w:r w:rsidR="0063376F" w:rsidRPr="004D3507">
              <w:rPr>
                <w:rStyle w:val="Hyperlink"/>
                <w:rFonts w:ascii="Times New Roman" w:hAnsi="Times New Roman" w:cs="Times New Roman"/>
                <w:noProof/>
                <w:sz w:val="24"/>
                <w:szCs w:val="24"/>
              </w:rPr>
              <w:t>Abstract</w:t>
            </w:r>
            <w:r w:rsidR="0063376F" w:rsidRPr="004D3507">
              <w:rPr>
                <w:rFonts w:ascii="Times New Roman" w:hAnsi="Times New Roman" w:cs="Times New Roman"/>
                <w:noProof/>
                <w:webHidden/>
                <w:sz w:val="24"/>
                <w:szCs w:val="24"/>
              </w:rPr>
              <w:tab/>
            </w:r>
            <w:r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_Toc284948706 \h </w:instrText>
            </w:r>
            <w:r w:rsidRPr="004D3507">
              <w:rPr>
                <w:rFonts w:ascii="Times New Roman" w:hAnsi="Times New Roman" w:cs="Times New Roman"/>
                <w:noProof/>
                <w:webHidden/>
                <w:sz w:val="24"/>
                <w:szCs w:val="24"/>
              </w:rPr>
            </w:r>
            <w:r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4</w:t>
            </w:r>
            <w:r w:rsidRPr="004D3507">
              <w:rPr>
                <w:rFonts w:ascii="Times New Roman" w:hAnsi="Times New Roman" w:cs="Times New Roman"/>
                <w:noProof/>
                <w:webHidden/>
                <w:sz w:val="24"/>
                <w:szCs w:val="24"/>
              </w:rPr>
              <w:fldChar w:fldCharType="end"/>
            </w:r>
          </w:hyperlink>
        </w:p>
        <w:p w14:paraId="6F7431CE" w14:textId="77777777" w:rsidR="0063376F" w:rsidRPr="004D3507" w:rsidRDefault="007851BF">
          <w:pPr>
            <w:pStyle w:val="TOC1"/>
            <w:tabs>
              <w:tab w:val="right" w:leader="dot" w:pos="9350"/>
            </w:tabs>
            <w:rPr>
              <w:rFonts w:ascii="Times New Roman" w:hAnsi="Times New Roman" w:cs="Times New Roman"/>
              <w:noProof/>
              <w:sz w:val="24"/>
              <w:szCs w:val="24"/>
              <w:lang w:eastAsia="ja-JP"/>
            </w:rPr>
          </w:pPr>
          <w:hyperlink w:anchor="_Toc284948707" w:history="1">
            <w:r w:rsidR="0063376F" w:rsidRPr="004D3507">
              <w:rPr>
                <w:rStyle w:val="Hyperlink"/>
                <w:rFonts w:ascii="Times New Roman" w:hAnsi="Times New Roman" w:cs="Times New Roman"/>
                <w:noProof/>
                <w:sz w:val="24"/>
                <w:szCs w:val="24"/>
              </w:rPr>
              <w:t>Introduction</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_Toc284948707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4</w:t>
            </w:r>
            <w:r w:rsidR="00DE1520" w:rsidRPr="004D3507">
              <w:rPr>
                <w:rFonts w:ascii="Times New Roman" w:hAnsi="Times New Roman" w:cs="Times New Roman"/>
                <w:noProof/>
                <w:webHidden/>
                <w:sz w:val="24"/>
                <w:szCs w:val="24"/>
              </w:rPr>
              <w:fldChar w:fldCharType="end"/>
            </w:r>
          </w:hyperlink>
        </w:p>
        <w:p w14:paraId="6F7431CF" w14:textId="77777777" w:rsidR="0063376F" w:rsidRPr="004D3507" w:rsidRDefault="007851BF">
          <w:pPr>
            <w:pStyle w:val="TOC1"/>
            <w:tabs>
              <w:tab w:val="right" w:leader="dot" w:pos="9350"/>
            </w:tabs>
            <w:rPr>
              <w:rFonts w:ascii="Times New Roman" w:hAnsi="Times New Roman" w:cs="Times New Roman"/>
              <w:noProof/>
              <w:sz w:val="24"/>
              <w:szCs w:val="24"/>
              <w:lang w:eastAsia="ja-JP"/>
            </w:rPr>
          </w:pPr>
          <w:hyperlink w:anchor="_Toc284948708" w:history="1">
            <w:r w:rsidR="0063376F" w:rsidRPr="004D3507">
              <w:rPr>
                <w:rStyle w:val="Hyperlink"/>
                <w:rFonts w:ascii="Times New Roman" w:hAnsi="Times New Roman" w:cs="Times New Roman"/>
                <w:noProof/>
                <w:sz w:val="24"/>
                <w:szCs w:val="24"/>
              </w:rPr>
              <w:t>Methodology</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_Toc284948708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6</w:t>
            </w:r>
            <w:r w:rsidR="00DE1520" w:rsidRPr="004D3507">
              <w:rPr>
                <w:rFonts w:ascii="Times New Roman" w:hAnsi="Times New Roman" w:cs="Times New Roman"/>
                <w:noProof/>
                <w:webHidden/>
                <w:sz w:val="24"/>
                <w:szCs w:val="24"/>
              </w:rPr>
              <w:fldChar w:fldCharType="end"/>
            </w:r>
          </w:hyperlink>
        </w:p>
        <w:p w14:paraId="6F7431D0" w14:textId="77777777" w:rsidR="0063376F" w:rsidRPr="004D3507" w:rsidRDefault="007851BF">
          <w:pPr>
            <w:pStyle w:val="TOC1"/>
            <w:tabs>
              <w:tab w:val="right" w:leader="dot" w:pos="9350"/>
            </w:tabs>
            <w:rPr>
              <w:rFonts w:ascii="Times New Roman" w:hAnsi="Times New Roman" w:cs="Times New Roman"/>
              <w:noProof/>
              <w:sz w:val="24"/>
              <w:szCs w:val="24"/>
              <w:lang w:eastAsia="ja-JP"/>
            </w:rPr>
          </w:pPr>
          <w:hyperlink w:anchor="_Toc284948715" w:history="1">
            <w:r w:rsidR="0063376F" w:rsidRPr="004D3507">
              <w:rPr>
                <w:rStyle w:val="Hyperlink"/>
                <w:rFonts w:ascii="Times New Roman" w:hAnsi="Times New Roman" w:cs="Times New Roman"/>
                <w:noProof/>
                <w:sz w:val="24"/>
                <w:szCs w:val="24"/>
              </w:rPr>
              <w:t>Results</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_Toc284948715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8</w:t>
            </w:r>
            <w:r w:rsidR="00DE1520" w:rsidRPr="004D3507">
              <w:rPr>
                <w:rFonts w:ascii="Times New Roman" w:hAnsi="Times New Roman" w:cs="Times New Roman"/>
                <w:noProof/>
                <w:webHidden/>
                <w:sz w:val="24"/>
                <w:szCs w:val="24"/>
              </w:rPr>
              <w:fldChar w:fldCharType="end"/>
            </w:r>
          </w:hyperlink>
        </w:p>
        <w:p w14:paraId="6F7431D1" w14:textId="77777777" w:rsidR="0063376F" w:rsidRPr="004D3507" w:rsidRDefault="007851BF">
          <w:pPr>
            <w:pStyle w:val="TOC1"/>
            <w:tabs>
              <w:tab w:val="right" w:leader="dot" w:pos="9350"/>
            </w:tabs>
            <w:rPr>
              <w:rFonts w:ascii="Times New Roman" w:hAnsi="Times New Roman" w:cs="Times New Roman"/>
              <w:noProof/>
              <w:sz w:val="24"/>
              <w:szCs w:val="24"/>
              <w:lang w:eastAsia="ja-JP"/>
            </w:rPr>
          </w:pPr>
          <w:hyperlink w:anchor="_Toc284948716" w:history="1">
            <w:r w:rsidR="0063376F" w:rsidRPr="004D3507">
              <w:rPr>
                <w:rStyle w:val="Hyperlink"/>
                <w:rFonts w:ascii="Times New Roman" w:hAnsi="Times New Roman" w:cs="Times New Roman"/>
                <w:noProof/>
                <w:sz w:val="24"/>
                <w:szCs w:val="24"/>
              </w:rPr>
              <w:t>Discussion</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_Toc284948716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10</w:t>
            </w:r>
            <w:r w:rsidR="00DE1520" w:rsidRPr="004D3507">
              <w:rPr>
                <w:rFonts w:ascii="Times New Roman" w:hAnsi="Times New Roman" w:cs="Times New Roman"/>
                <w:noProof/>
                <w:webHidden/>
                <w:sz w:val="24"/>
                <w:szCs w:val="24"/>
              </w:rPr>
              <w:fldChar w:fldCharType="end"/>
            </w:r>
          </w:hyperlink>
        </w:p>
        <w:p w14:paraId="6F7431D2" w14:textId="77777777" w:rsidR="0063376F" w:rsidRPr="004D3507" w:rsidRDefault="007851BF">
          <w:pPr>
            <w:pStyle w:val="TOC1"/>
            <w:tabs>
              <w:tab w:val="right" w:leader="dot" w:pos="9350"/>
            </w:tabs>
            <w:rPr>
              <w:rFonts w:ascii="Times New Roman" w:hAnsi="Times New Roman" w:cs="Times New Roman"/>
              <w:noProof/>
              <w:sz w:val="24"/>
              <w:szCs w:val="24"/>
              <w:lang w:eastAsia="ja-JP"/>
            </w:rPr>
          </w:pPr>
          <w:hyperlink w:anchor="_Toc284948719" w:history="1">
            <w:r w:rsidR="0063376F" w:rsidRPr="004D3507">
              <w:rPr>
                <w:rStyle w:val="Hyperlink"/>
                <w:rFonts w:ascii="Times New Roman" w:hAnsi="Times New Roman" w:cs="Times New Roman"/>
                <w:noProof/>
                <w:sz w:val="24"/>
                <w:szCs w:val="24"/>
              </w:rPr>
              <w:t>Recommendations</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_Toc284948719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12</w:t>
            </w:r>
            <w:r w:rsidR="00DE1520" w:rsidRPr="004D3507">
              <w:rPr>
                <w:rFonts w:ascii="Times New Roman" w:hAnsi="Times New Roman" w:cs="Times New Roman"/>
                <w:noProof/>
                <w:webHidden/>
                <w:sz w:val="24"/>
                <w:szCs w:val="24"/>
              </w:rPr>
              <w:fldChar w:fldCharType="end"/>
            </w:r>
          </w:hyperlink>
        </w:p>
        <w:p w14:paraId="6F7431D3" w14:textId="77777777" w:rsidR="0063376F" w:rsidRPr="004D3507" w:rsidRDefault="007851BF">
          <w:pPr>
            <w:pStyle w:val="TOC1"/>
            <w:tabs>
              <w:tab w:val="right" w:leader="dot" w:pos="9350"/>
            </w:tabs>
            <w:rPr>
              <w:rFonts w:ascii="Times New Roman" w:hAnsi="Times New Roman" w:cs="Times New Roman"/>
              <w:noProof/>
              <w:sz w:val="24"/>
              <w:szCs w:val="24"/>
              <w:lang w:eastAsia="ja-JP"/>
            </w:rPr>
          </w:pPr>
          <w:hyperlink w:anchor="_Toc284948720" w:history="1">
            <w:r w:rsidR="0063376F" w:rsidRPr="004D3507">
              <w:rPr>
                <w:rStyle w:val="Hyperlink"/>
                <w:rFonts w:ascii="Times New Roman" w:hAnsi="Times New Roman" w:cs="Times New Roman"/>
                <w:noProof/>
                <w:sz w:val="24"/>
                <w:szCs w:val="24"/>
              </w:rPr>
              <w:t>References</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_Toc284948720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13</w:t>
            </w:r>
            <w:r w:rsidR="00DE1520" w:rsidRPr="004D3507">
              <w:rPr>
                <w:rFonts w:ascii="Times New Roman" w:hAnsi="Times New Roman" w:cs="Times New Roman"/>
                <w:noProof/>
                <w:webHidden/>
                <w:sz w:val="24"/>
                <w:szCs w:val="24"/>
              </w:rPr>
              <w:fldChar w:fldCharType="end"/>
            </w:r>
          </w:hyperlink>
        </w:p>
        <w:p w14:paraId="6F7431D4" w14:textId="77777777" w:rsidR="0063376F" w:rsidRPr="004D3507" w:rsidRDefault="007851BF">
          <w:pPr>
            <w:pStyle w:val="TOC1"/>
            <w:tabs>
              <w:tab w:val="right" w:leader="dot" w:pos="9350"/>
            </w:tabs>
            <w:rPr>
              <w:rFonts w:ascii="Times New Roman" w:hAnsi="Times New Roman" w:cs="Times New Roman"/>
              <w:noProof/>
              <w:sz w:val="24"/>
              <w:szCs w:val="24"/>
              <w:lang w:eastAsia="ja-JP"/>
            </w:rPr>
          </w:pPr>
          <w:hyperlink w:anchor="_Toc284948721" w:history="1">
            <w:r w:rsidR="0063376F" w:rsidRPr="004D3507">
              <w:rPr>
                <w:rStyle w:val="Hyperlink"/>
                <w:rFonts w:ascii="Times New Roman" w:hAnsi="Times New Roman" w:cs="Times New Roman"/>
                <w:noProof/>
                <w:sz w:val="24"/>
                <w:szCs w:val="24"/>
              </w:rPr>
              <w:t>Appendices</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_Toc284948721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15</w:t>
            </w:r>
            <w:r w:rsidR="00DE1520" w:rsidRPr="004D3507">
              <w:rPr>
                <w:rFonts w:ascii="Times New Roman" w:hAnsi="Times New Roman" w:cs="Times New Roman"/>
                <w:noProof/>
                <w:webHidden/>
                <w:sz w:val="24"/>
                <w:szCs w:val="24"/>
              </w:rPr>
              <w:fldChar w:fldCharType="end"/>
            </w:r>
          </w:hyperlink>
        </w:p>
        <w:p w14:paraId="6F7431D5" w14:textId="77777777" w:rsidR="0063376F" w:rsidRPr="004D3507" w:rsidRDefault="007851BF">
          <w:pPr>
            <w:pStyle w:val="TOC2"/>
            <w:tabs>
              <w:tab w:val="right" w:leader="dot" w:pos="9350"/>
            </w:tabs>
            <w:rPr>
              <w:rFonts w:ascii="Times New Roman" w:hAnsi="Times New Roman" w:cs="Times New Roman"/>
              <w:noProof/>
              <w:sz w:val="24"/>
              <w:szCs w:val="24"/>
            </w:rPr>
          </w:pPr>
          <w:hyperlink w:anchor="_Toc284948722" w:history="1">
            <w:r w:rsidR="0063376F" w:rsidRPr="004D3507">
              <w:rPr>
                <w:rStyle w:val="Hyperlink"/>
                <w:rFonts w:ascii="Times New Roman" w:hAnsi="Times New Roman" w:cs="Times New Roman"/>
                <w:noProof/>
                <w:sz w:val="24"/>
                <w:szCs w:val="24"/>
              </w:rPr>
              <w:t>Appendix A: Original Project Proposal</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_Toc284948722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15</w:t>
            </w:r>
            <w:r w:rsidR="00DE1520" w:rsidRPr="004D3507">
              <w:rPr>
                <w:rFonts w:ascii="Times New Roman" w:hAnsi="Times New Roman" w:cs="Times New Roman"/>
                <w:noProof/>
                <w:webHidden/>
                <w:sz w:val="24"/>
                <w:szCs w:val="24"/>
              </w:rPr>
              <w:fldChar w:fldCharType="end"/>
            </w:r>
          </w:hyperlink>
        </w:p>
        <w:p w14:paraId="6F7431D6" w14:textId="77777777" w:rsidR="0063376F" w:rsidRPr="004D3507" w:rsidRDefault="007851BF">
          <w:pPr>
            <w:pStyle w:val="TOC2"/>
            <w:tabs>
              <w:tab w:val="right" w:leader="dot" w:pos="9350"/>
            </w:tabs>
            <w:rPr>
              <w:rFonts w:ascii="Times New Roman" w:hAnsi="Times New Roman" w:cs="Times New Roman"/>
              <w:noProof/>
              <w:sz w:val="24"/>
              <w:szCs w:val="24"/>
            </w:rPr>
          </w:pPr>
          <w:hyperlink w:anchor="_Toc284948723" w:history="1">
            <w:r w:rsidR="0063376F" w:rsidRPr="004D3507">
              <w:rPr>
                <w:rStyle w:val="Hyperlink"/>
                <w:rFonts w:ascii="Times New Roman" w:hAnsi="Times New Roman" w:cs="Times New Roman"/>
                <w:noProof/>
                <w:sz w:val="24"/>
                <w:szCs w:val="24"/>
              </w:rPr>
              <w:t>Appendix B:  Project Meeting Timeline</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_Toc284948723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17</w:t>
            </w:r>
            <w:r w:rsidR="00DE1520" w:rsidRPr="004D3507">
              <w:rPr>
                <w:rFonts w:ascii="Times New Roman" w:hAnsi="Times New Roman" w:cs="Times New Roman"/>
                <w:noProof/>
                <w:webHidden/>
                <w:sz w:val="24"/>
                <w:szCs w:val="24"/>
              </w:rPr>
              <w:fldChar w:fldCharType="end"/>
            </w:r>
          </w:hyperlink>
        </w:p>
        <w:p w14:paraId="6F7431D7" w14:textId="77777777" w:rsidR="0063376F" w:rsidRPr="004D3507" w:rsidRDefault="007851BF">
          <w:pPr>
            <w:pStyle w:val="TOC2"/>
            <w:tabs>
              <w:tab w:val="right" w:leader="dot" w:pos="9350"/>
            </w:tabs>
            <w:rPr>
              <w:rFonts w:ascii="Times New Roman" w:hAnsi="Times New Roman" w:cs="Times New Roman"/>
              <w:noProof/>
              <w:sz w:val="24"/>
              <w:szCs w:val="24"/>
            </w:rPr>
          </w:pPr>
          <w:hyperlink w:anchor="_Toc284948724" w:history="1">
            <w:r w:rsidR="0063376F" w:rsidRPr="004D3507">
              <w:rPr>
                <w:rStyle w:val="Hyperlink"/>
                <w:rFonts w:ascii="Times New Roman" w:hAnsi="Times New Roman" w:cs="Times New Roman"/>
                <w:noProof/>
                <w:sz w:val="24"/>
                <w:szCs w:val="24"/>
              </w:rPr>
              <w:t>Appendix C: Fields and Definitions for EHR Spreadsheet</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_Toc284948724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19</w:t>
            </w:r>
            <w:r w:rsidR="00DE1520" w:rsidRPr="004D3507">
              <w:rPr>
                <w:rFonts w:ascii="Times New Roman" w:hAnsi="Times New Roman" w:cs="Times New Roman"/>
                <w:noProof/>
                <w:webHidden/>
                <w:sz w:val="24"/>
                <w:szCs w:val="24"/>
              </w:rPr>
              <w:fldChar w:fldCharType="end"/>
            </w:r>
          </w:hyperlink>
        </w:p>
        <w:p w14:paraId="6F7431D8" w14:textId="77777777" w:rsidR="0063376F" w:rsidRPr="004D3507" w:rsidRDefault="007851BF">
          <w:pPr>
            <w:pStyle w:val="TOC2"/>
            <w:tabs>
              <w:tab w:val="right" w:leader="dot" w:pos="9350"/>
            </w:tabs>
            <w:rPr>
              <w:rFonts w:ascii="Times New Roman" w:hAnsi="Times New Roman" w:cs="Times New Roman"/>
              <w:noProof/>
              <w:sz w:val="24"/>
              <w:szCs w:val="24"/>
            </w:rPr>
          </w:pPr>
          <w:hyperlink w:anchor="_Toc284948725" w:history="1">
            <w:r w:rsidR="0063376F" w:rsidRPr="004D3507">
              <w:rPr>
                <w:rStyle w:val="Hyperlink"/>
                <w:rFonts w:ascii="Times New Roman" w:hAnsi="Times New Roman" w:cs="Times New Roman"/>
                <w:noProof/>
                <w:sz w:val="24"/>
                <w:szCs w:val="24"/>
              </w:rPr>
              <w:t>Appendix D: Patient-Specific Education Resources</w:t>
            </w:r>
            <w:r w:rsidR="0063376F" w:rsidRPr="004D3507">
              <w:rPr>
                <w:rFonts w:ascii="Times New Roman" w:hAnsi="Times New Roman" w:cs="Times New Roman"/>
                <w:noProof/>
                <w:webHidden/>
                <w:sz w:val="24"/>
                <w:szCs w:val="24"/>
              </w:rPr>
              <w:tab/>
            </w:r>
            <w:r w:rsidR="00DE1520" w:rsidRPr="004D3507">
              <w:rPr>
                <w:rFonts w:ascii="Times New Roman" w:hAnsi="Times New Roman" w:cs="Times New Roman"/>
                <w:noProof/>
                <w:webHidden/>
                <w:sz w:val="24"/>
                <w:szCs w:val="24"/>
              </w:rPr>
              <w:fldChar w:fldCharType="begin"/>
            </w:r>
            <w:r w:rsidR="0063376F" w:rsidRPr="004D3507">
              <w:rPr>
                <w:rFonts w:ascii="Times New Roman" w:hAnsi="Times New Roman" w:cs="Times New Roman"/>
                <w:noProof/>
                <w:webHidden/>
                <w:sz w:val="24"/>
                <w:szCs w:val="24"/>
              </w:rPr>
              <w:instrText xml:space="preserve"> PAGEREF _Toc284948725 \h </w:instrText>
            </w:r>
            <w:r w:rsidR="00DE1520" w:rsidRPr="004D3507">
              <w:rPr>
                <w:rFonts w:ascii="Times New Roman" w:hAnsi="Times New Roman" w:cs="Times New Roman"/>
                <w:noProof/>
                <w:webHidden/>
                <w:sz w:val="24"/>
                <w:szCs w:val="24"/>
              </w:rPr>
            </w:r>
            <w:r w:rsidR="00DE1520" w:rsidRPr="004D3507">
              <w:rPr>
                <w:rFonts w:ascii="Times New Roman" w:hAnsi="Times New Roman" w:cs="Times New Roman"/>
                <w:noProof/>
                <w:webHidden/>
                <w:sz w:val="24"/>
                <w:szCs w:val="24"/>
              </w:rPr>
              <w:fldChar w:fldCharType="separate"/>
            </w:r>
            <w:r w:rsidR="00A73A6B">
              <w:rPr>
                <w:rFonts w:ascii="Times New Roman" w:hAnsi="Times New Roman" w:cs="Times New Roman"/>
                <w:noProof/>
                <w:webHidden/>
                <w:sz w:val="24"/>
                <w:szCs w:val="24"/>
              </w:rPr>
              <w:t>20</w:t>
            </w:r>
            <w:r w:rsidR="00DE1520" w:rsidRPr="004D3507">
              <w:rPr>
                <w:rFonts w:ascii="Times New Roman" w:hAnsi="Times New Roman" w:cs="Times New Roman"/>
                <w:noProof/>
                <w:webHidden/>
                <w:sz w:val="24"/>
                <w:szCs w:val="24"/>
              </w:rPr>
              <w:fldChar w:fldCharType="end"/>
            </w:r>
          </w:hyperlink>
        </w:p>
        <w:p w14:paraId="56F70B87" w14:textId="77777777" w:rsidR="00482457" w:rsidRDefault="00DE1520" w:rsidP="00F1758F">
          <w:pPr>
            <w:spacing w:line="360" w:lineRule="auto"/>
            <w:contextualSpacing/>
            <w:rPr>
              <w:rFonts w:ascii="Times New Roman" w:hAnsi="Times New Roman" w:cs="Times New Roman"/>
            </w:rPr>
          </w:pPr>
          <w:r w:rsidRPr="004D3507">
            <w:rPr>
              <w:rFonts w:ascii="Times New Roman" w:hAnsi="Times New Roman" w:cs="Times New Roman"/>
              <w:sz w:val="24"/>
              <w:szCs w:val="24"/>
            </w:rPr>
            <w:fldChar w:fldCharType="end"/>
          </w:r>
        </w:p>
      </w:sdtContent>
    </w:sdt>
    <w:p w14:paraId="6F7431DE" w14:textId="0E726E1D" w:rsidR="00A374F8" w:rsidRPr="00482457" w:rsidRDefault="00A374F8" w:rsidP="00F1758F">
      <w:pPr>
        <w:spacing w:line="360" w:lineRule="auto"/>
        <w:contextualSpacing/>
        <w:rPr>
          <w:rFonts w:ascii="Times New Roman" w:hAnsi="Times New Roman" w:cs="Times New Roman"/>
        </w:rPr>
      </w:pPr>
      <w:r w:rsidRPr="00896265">
        <w:rPr>
          <w:rFonts w:ascii="Times New Roman" w:hAnsi="Times New Roman" w:cs="Times New Roman"/>
          <w:color w:val="000000" w:themeColor="text1"/>
          <w:sz w:val="24"/>
          <w:szCs w:val="24"/>
        </w:rPr>
        <w:br w:type="page"/>
      </w:r>
    </w:p>
    <w:p w14:paraId="6F7431E0" w14:textId="71E76768" w:rsidR="00800EBF" w:rsidRDefault="00800EBF" w:rsidP="00482457">
      <w:pPr>
        <w:pStyle w:val="Heading1"/>
        <w:spacing w:after="360"/>
      </w:pPr>
      <w:bookmarkStart w:id="0" w:name="_Toc284948706"/>
      <w:r w:rsidRPr="002B7283">
        <w:rPr>
          <w:color w:val="auto"/>
        </w:rPr>
        <w:lastRenderedPageBreak/>
        <w:t>Abstract</w:t>
      </w:r>
      <w:bookmarkEnd w:id="0"/>
    </w:p>
    <w:p w14:paraId="6F7431E1" w14:textId="77777777" w:rsidR="00800EBF" w:rsidRPr="00D96D7F" w:rsidRDefault="00D96D7F" w:rsidP="00F1758F">
      <w:pPr>
        <w:spacing w:line="360" w:lineRule="auto"/>
        <w:rPr>
          <w:rFonts w:ascii="Times New Roman" w:hAnsi="Times New Roman" w:cs="Times New Roman"/>
          <w:sz w:val="24"/>
          <w:szCs w:val="24"/>
        </w:rPr>
      </w:pPr>
      <w:r>
        <w:rPr>
          <w:rFonts w:ascii="Times New Roman" w:hAnsi="Times New Roman" w:cs="Times New Roman"/>
          <w:b/>
          <w:sz w:val="24"/>
          <w:szCs w:val="24"/>
        </w:rPr>
        <w:t>Objective</w:t>
      </w:r>
      <w:r w:rsidR="006535B1" w:rsidRPr="00D96D7F">
        <w:rPr>
          <w:rFonts w:ascii="Times New Roman" w:hAnsi="Times New Roman" w:cs="Times New Roman"/>
          <w:sz w:val="24"/>
          <w:szCs w:val="24"/>
        </w:rPr>
        <w:t xml:space="preserve">: </w:t>
      </w:r>
      <w:r w:rsidR="002961D6" w:rsidRPr="00D96D7F">
        <w:rPr>
          <w:rFonts w:ascii="Times New Roman" w:hAnsi="Times New Roman" w:cs="Times New Roman"/>
          <w:sz w:val="24"/>
          <w:szCs w:val="24"/>
        </w:rPr>
        <w:t>MedlinePlus Connect</w:t>
      </w:r>
      <w:r w:rsidR="00574EDB">
        <w:rPr>
          <w:rFonts w:ascii="Times New Roman" w:hAnsi="Times New Roman" w:cs="Times New Roman"/>
          <w:sz w:val="24"/>
          <w:szCs w:val="24"/>
        </w:rPr>
        <w:t xml:space="preserve"> is a new service of the National Library of Medicine (NLM) that</w:t>
      </w:r>
      <w:r w:rsidR="002961D6" w:rsidRPr="00D96D7F">
        <w:rPr>
          <w:rFonts w:ascii="Times New Roman" w:hAnsi="Times New Roman" w:cs="Times New Roman"/>
          <w:sz w:val="24"/>
          <w:szCs w:val="24"/>
        </w:rPr>
        <w:t xml:space="preserve"> brings relevant consumer health information from the NLM’s MedlinePlus to patients or providers using an </w:t>
      </w:r>
      <w:r w:rsidR="00574EDB">
        <w:rPr>
          <w:rFonts w:ascii="Times New Roman" w:hAnsi="Times New Roman" w:cs="Times New Roman"/>
          <w:sz w:val="24"/>
          <w:szCs w:val="24"/>
        </w:rPr>
        <w:t>electronic health record (</w:t>
      </w:r>
      <w:r w:rsidR="002961D6" w:rsidRPr="00D96D7F">
        <w:rPr>
          <w:rFonts w:ascii="Times New Roman" w:hAnsi="Times New Roman" w:cs="Times New Roman"/>
          <w:sz w:val="24"/>
          <w:szCs w:val="24"/>
        </w:rPr>
        <w:t>EHR</w:t>
      </w:r>
      <w:r w:rsidR="00574EDB">
        <w:rPr>
          <w:rFonts w:ascii="Times New Roman" w:hAnsi="Times New Roman" w:cs="Times New Roman"/>
          <w:sz w:val="24"/>
          <w:szCs w:val="24"/>
        </w:rPr>
        <w:t>)</w:t>
      </w:r>
      <w:r w:rsidR="002961D6" w:rsidRPr="00D96D7F">
        <w:rPr>
          <w:rFonts w:ascii="Times New Roman" w:hAnsi="Times New Roman" w:cs="Times New Roman"/>
          <w:sz w:val="24"/>
          <w:szCs w:val="24"/>
        </w:rPr>
        <w:t xml:space="preserve">. </w:t>
      </w:r>
      <w:r w:rsidR="00574EDB">
        <w:rPr>
          <w:rFonts w:ascii="Times New Roman" w:hAnsi="Times New Roman" w:cs="Times New Roman"/>
          <w:sz w:val="24"/>
          <w:szCs w:val="24"/>
        </w:rPr>
        <w:t>MedlinePlus Connect</w:t>
      </w:r>
      <w:r w:rsidR="00574EDB" w:rsidRPr="00D96D7F">
        <w:rPr>
          <w:rFonts w:ascii="Times New Roman" w:hAnsi="Times New Roman" w:cs="Times New Roman"/>
          <w:sz w:val="24"/>
          <w:szCs w:val="24"/>
        </w:rPr>
        <w:t xml:space="preserve"> can potentially help user</w:t>
      </w:r>
      <w:r w:rsidR="00574EDB">
        <w:rPr>
          <w:rFonts w:ascii="Times New Roman" w:hAnsi="Times New Roman" w:cs="Times New Roman"/>
          <w:sz w:val="24"/>
          <w:szCs w:val="24"/>
        </w:rPr>
        <w:t>s of EHRs</w:t>
      </w:r>
      <w:r w:rsidR="00574EDB" w:rsidRPr="00D96D7F">
        <w:rPr>
          <w:rFonts w:ascii="Times New Roman" w:hAnsi="Times New Roman" w:cs="Times New Roman"/>
          <w:sz w:val="24"/>
          <w:szCs w:val="24"/>
        </w:rPr>
        <w:t xml:space="preserve"> fulfill optional Meaningful Use certification criterion 170.302(m): Patient-specific education resources. </w:t>
      </w:r>
      <w:r w:rsidR="007279B2" w:rsidRPr="00D96D7F">
        <w:rPr>
          <w:rFonts w:ascii="Times New Roman" w:hAnsi="Times New Roman" w:cs="Times New Roman"/>
          <w:sz w:val="24"/>
          <w:szCs w:val="24"/>
        </w:rPr>
        <w:t xml:space="preserve">This project </w:t>
      </w:r>
      <w:r w:rsidR="007502C9">
        <w:rPr>
          <w:rFonts w:ascii="Times New Roman" w:hAnsi="Times New Roman" w:cs="Times New Roman"/>
          <w:sz w:val="24"/>
          <w:szCs w:val="24"/>
        </w:rPr>
        <w:t>seeks</w:t>
      </w:r>
      <w:r w:rsidR="007502C9" w:rsidRPr="00D96D7F">
        <w:rPr>
          <w:rFonts w:ascii="Times New Roman" w:hAnsi="Times New Roman" w:cs="Times New Roman"/>
          <w:sz w:val="24"/>
          <w:szCs w:val="24"/>
        </w:rPr>
        <w:t xml:space="preserve"> </w:t>
      </w:r>
      <w:r w:rsidR="007279B2" w:rsidRPr="00D96D7F">
        <w:rPr>
          <w:rFonts w:ascii="Times New Roman" w:hAnsi="Times New Roman" w:cs="Times New Roman"/>
          <w:sz w:val="24"/>
          <w:szCs w:val="24"/>
        </w:rPr>
        <w:t xml:space="preserve">to understand the depth and breadth of services similar to MedlinePlus Connect that provide </w:t>
      </w:r>
      <w:r w:rsidR="00574EDB">
        <w:rPr>
          <w:rFonts w:ascii="Times New Roman" w:hAnsi="Times New Roman" w:cs="Times New Roman"/>
          <w:sz w:val="24"/>
          <w:szCs w:val="24"/>
        </w:rPr>
        <w:t>a</w:t>
      </w:r>
      <w:r w:rsidR="007279B2" w:rsidRPr="00D96D7F">
        <w:rPr>
          <w:rFonts w:ascii="Times New Roman" w:hAnsi="Times New Roman" w:cs="Times New Roman"/>
          <w:sz w:val="24"/>
          <w:szCs w:val="24"/>
        </w:rPr>
        <w:t xml:space="preserve"> link to patient education information from an </w:t>
      </w:r>
      <w:r w:rsidR="002961D6" w:rsidRPr="00D96D7F">
        <w:rPr>
          <w:rFonts w:ascii="Times New Roman" w:hAnsi="Times New Roman" w:cs="Times New Roman"/>
          <w:sz w:val="24"/>
          <w:szCs w:val="24"/>
        </w:rPr>
        <w:t>EHR</w:t>
      </w:r>
      <w:r w:rsidR="007279B2" w:rsidRPr="00D96D7F">
        <w:rPr>
          <w:rFonts w:ascii="Times New Roman" w:hAnsi="Times New Roman" w:cs="Times New Roman"/>
          <w:sz w:val="24"/>
          <w:szCs w:val="24"/>
        </w:rPr>
        <w:t xml:space="preserve">. </w:t>
      </w:r>
    </w:p>
    <w:p w14:paraId="6F7431E2" w14:textId="77777777" w:rsidR="00CD7412" w:rsidRPr="00D96D7F" w:rsidRDefault="00D96D7F" w:rsidP="00D369E0">
      <w:pPr>
        <w:spacing w:line="360" w:lineRule="auto"/>
        <w:rPr>
          <w:rFonts w:ascii="Times New Roman" w:hAnsi="Times New Roman" w:cs="Times New Roman"/>
          <w:sz w:val="24"/>
          <w:szCs w:val="24"/>
        </w:rPr>
      </w:pPr>
      <w:r>
        <w:rPr>
          <w:rFonts w:ascii="Times New Roman" w:hAnsi="Times New Roman" w:cs="Times New Roman"/>
          <w:b/>
          <w:sz w:val="24"/>
          <w:szCs w:val="24"/>
        </w:rPr>
        <w:t>Methods</w:t>
      </w:r>
      <w:r w:rsidR="006535B1" w:rsidRPr="00D96D7F">
        <w:rPr>
          <w:rFonts w:ascii="Times New Roman" w:hAnsi="Times New Roman" w:cs="Times New Roman"/>
          <w:sz w:val="24"/>
          <w:szCs w:val="24"/>
        </w:rPr>
        <w:t xml:space="preserve">: An Associate Fellow from the National Library of Medicine (NLM) conducted an environmental scan of </w:t>
      </w:r>
      <w:r w:rsidR="002961D6" w:rsidRPr="00D96D7F">
        <w:rPr>
          <w:rFonts w:ascii="Times New Roman" w:hAnsi="Times New Roman" w:cs="Times New Roman"/>
          <w:sz w:val="24"/>
          <w:szCs w:val="24"/>
        </w:rPr>
        <w:t>EHRs certified by the Office of the National Coordinator for Health Information Technology (ONC) that met certification criterion 170.302(m)</w:t>
      </w:r>
      <w:r w:rsidR="00470DDA" w:rsidRPr="00D96D7F">
        <w:rPr>
          <w:rFonts w:ascii="Times New Roman" w:hAnsi="Times New Roman" w:cs="Times New Roman"/>
          <w:sz w:val="24"/>
          <w:szCs w:val="24"/>
        </w:rPr>
        <w:t xml:space="preserve"> </w:t>
      </w:r>
      <w:r w:rsidR="00574EDB">
        <w:rPr>
          <w:rFonts w:ascii="Times New Roman" w:hAnsi="Times New Roman" w:cs="Times New Roman"/>
          <w:sz w:val="24"/>
          <w:szCs w:val="24"/>
        </w:rPr>
        <w:t xml:space="preserve">to determine </w:t>
      </w:r>
      <w:r w:rsidR="00470DDA" w:rsidRPr="00D96D7F">
        <w:rPr>
          <w:rFonts w:ascii="Times New Roman" w:hAnsi="Times New Roman" w:cs="Times New Roman"/>
          <w:sz w:val="24"/>
          <w:szCs w:val="24"/>
        </w:rPr>
        <w:t>patient</w:t>
      </w:r>
      <w:r w:rsidR="00574EDB">
        <w:rPr>
          <w:rFonts w:ascii="Times New Roman" w:hAnsi="Times New Roman" w:cs="Times New Roman"/>
          <w:sz w:val="24"/>
          <w:szCs w:val="24"/>
        </w:rPr>
        <w:t>-specific</w:t>
      </w:r>
      <w:r w:rsidR="00470DDA" w:rsidRPr="00D96D7F">
        <w:rPr>
          <w:rFonts w:ascii="Times New Roman" w:hAnsi="Times New Roman" w:cs="Times New Roman"/>
          <w:sz w:val="24"/>
          <w:szCs w:val="24"/>
        </w:rPr>
        <w:t xml:space="preserve"> education </w:t>
      </w:r>
      <w:r w:rsidR="00574EDB">
        <w:rPr>
          <w:rFonts w:ascii="Times New Roman" w:hAnsi="Times New Roman" w:cs="Times New Roman"/>
          <w:sz w:val="24"/>
          <w:szCs w:val="24"/>
        </w:rPr>
        <w:t>resources</w:t>
      </w:r>
      <w:r w:rsidR="00574EDB" w:rsidRPr="00D96D7F">
        <w:rPr>
          <w:rFonts w:ascii="Times New Roman" w:hAnsi="Times New Roman" w:cs="Times New Roman"/>
          <w:sz w:val="24"/>
          <w:szCs w:val="24"/>
        </w:rPr>
        <w:t xml:space="preserve"> </w:t>
      </w:r>
      <w:r w:rsidR="00470DDA" w:rsidRPr="00D96D7F">
        <w:rPr>
          <w:rFonts w:ascii="Times New Roman" w:hAnsi="Times New Roman" w:cs="Times New Roman"/>
          <w:sz w:val="24"/>
          <w:szCs w:val="24"/>
        </w:rPr>
        <w:t xml:space="preserve">used </w:t>
      </w:r>
      <w:r w:rsidR="00574EDB">
        <w:rPr>
          <w:rFonts w:ascii="Times New Roman" w:hAnsi="Times New Roman" w:cs="Times New Roman"/>
          <w:sz w:val="24"/>
          <w:szCs w:val="24"/>
        </w:rPr>
        <w:t xml:space="preserve">frequently </w:t>
      </w:r>
      <w:r w:rsidR="00470DDA" w:rsidRPr="00D96D7F">
        <w:rPr>
          <w:rFonts w:ascii="Times New Roman" w:hAnsi="Times New Roman" w:cs="Times New Roman"/>
          <w:sz w:val="24"/>
          <w:szCs w:val="24"/>
        </w:rPr>
        <w:t xml:space="preserve">within </w:t>
      </w:r>
      <w:r w:rsidR="00850430" w:rsidRPr="00D96D7F">
        <w:rPr>
          <w:rFonts w:ascii="Times New Roman" w:hAnsi="Times New Roman" w:cs="Times New Roman"/>
          <w:sz w:val="24"/>
          <w:szCs w:val="24"/>
        </w:rPr>
        <w:t xml:space="preserve">these </w:t>
      </w:r>
      <w:r w:rsidR="00470DDA" w:rsidRPr="00D96D7F">
        <w:rPr>
          <w:rFonts w:ascii="Times New Roman" w:hAnsi="Times New Roman" w:cs="Times New Roman"/>
          <w:sz w:val="24"/>
          <w:szCs w:val="24"/>
        </w:rPr>
        <w:t>EHR</w:t>
      </w:r>
      <w:r w:rsidR="00850430" w:rsidRPr="00D96D7F">
        <w:rPr>
          <w:rFonts w:ascii="Times New Roman" w:hAnsi="Times New Roman" w:cs="Times New Roman"/>
          <w:sz w:val="24"/>
          <w:szCs w:val="24"/>
        </w:rPr>
        <w:t>s</w:t>
      </w:r>
      <w:r w:rsidR="00470DDA" w:rsidRPr="00D96D7F">
        <w:rPr>
          <w:rFonts w:ascii="Times New Roman" w:hAnsi="Times New Roman" w:cs="Times New Roman"/>
          <w:sz w:val="24"/>
          <w:szCs w:val="24"/>
        </w:rPr>
        <w:t>.</w:t>
      </w:r>
    </w:p>
    <w:p w14:paraId="6F7431E3" w14:textId="77777777" w:rsidR="00CD7412" w:rsidRPr="00D96D7F" w:rsidRDefault="00D96D7F" w:rsidP="00F1758F">
      <w:pPr>
        <w:spacing w:line="360" w:lineRule="auto"/>
        <w:rPr>
          <w:rFonts w:ascii="Times New Roman" w:hAnsi="Times New Roman" w:cs="Times New Roman"/>
          <w:sz w:val="24"/>
          <w:szCs w:val="24"/>
        </w:rPr>
      </w:pPr>
      <w:r>
        <w:rPr>
          <w:rFonts w:ascii="Times New Roman" w:hAnsi="Times New Roman" w:cs="Times New Roman"/>
          <w:b/>
          <w:sz w:val="24"/>
          <w:szCs w:val="24"/>
        </w:rPr>
        <w:t>Results</w:t>
      </w:r>
      <w:r w:rsidR="006535B1" w:rsidRPr="00D96D7F">
        <w:rPr>
          <w:rFonts w:ascii="Times New Roman" w:hAnsi="Times New Roman" w:cs="Times New Roman"/>
          <w:sz w:val="24"/>
          <w:szCs w:val="24"/>
        </w:rPr>
        <w:t xml:space="preserve">: </w:t>
      </w:r>
      <w:r w:rsidR="00CB7F67">
        <w:rPr>
          <w:rFonts w:ascii="Times New Roman" w:hAnsi="Times New Roman" w:cs="Times New Roman"/>
          <w:sz w:val="24"/>
          <w:szCs w:val="24"/>
        </w:rPr>
        <w:t>A total of 13 patient-specific education information resources were identified</w:t>
      </w:r>
      <w:r w:rsidR="00D369E0">
        <w:rPr>
          <w:rFonts w:ascii="Times New Roman" w:hAnsi="Times New Roman" w:cs="Times New Roman"/>
          <w:sz w:val="24"/>
          <w:szCs w:val="24"/>
        </w:rPr>
        <w:t xml:space="preserve">. Six of these </w:t>
      </w:r>
      <w:r w:rsidR="00CB7F67">
        <w:rPr>
          <w:rFonts w:ascii="Times New Roman" w:hAnsi="Times New Roman" w:cs="Times New Roman"/>
          <w:sz w:val="24"/>
          <w:szCs w:val="24"/>
        </w:rPr>
        <w:t>patient-specific education resource</w:t>
      </w:r>
      <w:r w:rsidR="00D369E0">
        <w:rPr>
          <w:rFonts w:ascii="Times New Roman" w:hAnsi="Times New Roman" w:cs="Times New Roman"/>
          <w:sz w:val="24"/>
          <w:szCs w:val="24"/>
        </w:rPr>
        <w:t>s</w:t>
      </w:r>
      <w:r w:rsidR="00CB7F67">
        <w:rPr>
          <w:rFonts w:ascii="Times New Roman" w:hAnsi="Times New Roman" w:cs="Times New Roman"/>
          <w:sz w:val="24"/>
          <w:szCs w:val="24"/>
        </w:rPr>
        <w:t xml:space="preserve"> </w:t>
      </w:r>
      <w:r w:rsidR="00D369E0">
        <w:rPr>
          <w:rFonts w:ascii="Times New Roman" w:hAnsi="Times New Roman" w:cs="Times New Roman"/>
          <w:sz w:val="24"/>
          <w:szCs w:val="24"/>
        </w:rPr>
        <w:t xml:space="preserve">were </w:t>
      </w:r>
      <w:r w:rsidR="00CB7F67" w:rsidRPr="00D96D7F">
        <w:rPr>
          <w:rFonts w:ascii="Times New Roman" w:hAnsi="Times New Roman" w:cs="Times New Roman"/>
          <w:sz w:val="24"/>
          <w:szCs w:val="24"/>
        </w:rPr>
        <w:t>used by two or more EH</w:t>
      </w:r>
      <w:r w:rsidR="00CB7F67">
        <w:rPr>
          <w:rFonts w:ascii="Times New Roman" w:hAnsi="Times New Roman" w:cs="Times New Roman"/>
          <w:sz w:val="24"/>
          <w:szCs w:val="24"/>
        </w:rPr>
        <w:t>Rs</w:t>
      </w:r>
      <w:r w:rsidR="00CB7F67" w:rsidRPr="00D96D7F">
        <w:rPr>
          <w:rFonts w:ascii="Times New Roman" w:hAnsi="Times New Roman" w:cs="Times New Roman"/>
          <w:sz w:val="24"/>
          <w:szCs w:val="24"/>
        </w:rPr>
        <w:t xml:space="preserve">.  </w:t>
      </w:r>
      <w:r w:rsidR="00A53C5D" w:rsidRPr="00D96D7F">
        <w:rPr>
          <w:rFonts w:ascii="Times New Roman" w:hAnsi="Times New Roman" w:cs="Times New Roman"/>
          <w:sz w:val="24"/>
          <w:szCs w:val="24"/>
        </w:rPr>
        <w:t xml:space="preserve">While 80 percent of </w:t>
      </w:r>
      <w:r w:rsidR="00574EDB">
        <w:rPr>
          <w:rFonts w:ascii="Times New Roman" w:hAnsi="Times New Roman" w:cs="Times New Roman"/>
          <w:sz w:val="24"/>
          <w:szCs w:val="24"/>
        </w:rPr>
        <w:t xml:space="preserve">ONC </w:t>
      </w:r>
      <w:r w:rsidR="00A53C5D" w:rsidRPr="00D96D7F">
        <w:rPr>
          <w:rFonts w:ascii="Times New Roman" w:hAnsi="Times New Roman" w:cs="Times New Roman"/>
          <w:sz w:val="24"/>
          <w:szCs w:val="24"/>
        </w:rPr>
        <w:t xml:space="preserve">certified EHRs met the ONC 170.302(m) certification criteria for the provision of patient-specific education resources, </w:t>
      </w:r>
      <w:r w:rsidR="00CB7F67">
        <w:rPr>
          <w:rFonts w:ascii="Times New Roman" w:hAnsi="Times New Roman" w:cs="Times New Roman"/>
          <w:sz w:val="24"/>
          <w:szCs w:val="24"/>
        </w:rPr>
        <w:t>only 28</w:t>
      </w:r>
      <w:r w:rsidR="00574EDB">
        <w:rPr>
          <w:rFonts w:ascii="Times New Roman" w:hAnsi="Times New Roman" w:cs="Times New Roman"/>
          <w:sz w:val="24"/>
          <w:szCs w:val="24"/>
        </w:rPr>
        <w:t xml:space="preserve"> percent </w:t>
      </w:r>
      <w:r w:rsidR="00CB7F67">
        <w:rPr>
          <w:rFonts w:ascii="Times New Roman" w:hAnsi="Times New Roman" w:cs="Times New Roman"/>
          <w:sz w:val="24"/>
          <w:szCs w:val="24"/>
        </w:rPr>
        <w:t xml:space="preserve">of ONC certified EHRs </w:t>
      </w:r>
      <w:r w:rsidR="00A53C5D" w:rsidRPr="00D96D7F">
        <w:rPr>
          <w:rFonts w:ascii="Times New Roman" w:hAnsi="Times New Roman" w:cs="Times New Roman"/>
          <w:sz w:val="24"/>
          <w:szCs w:val="24"/>
        </w:rPr>
        <w:t>provide information about the actual patient-specific education resource vendor or product used</w:t>
      </w:r>
      <w:r w:rsidR="00A2486A">
        <w:rPr>
          <w:rFonts w:ascii="Times New Roman" w:hAnsi="Times New Roman" w:cs="Times New Roman"/>
          <w:sz w:val="24"/>
          <w:szCs w:val="24"/>
        </w:rPr>
        <w:t xml:space="preserve"> within the EHR</w:t>
      </w:r>
      <w:r w:rsidR="00A53C5D" w:rsidRPr="00D96D7F">
        <w:rPr>
          <w:rFonts w:ascii="Times New Roman" w:hAnsi="Times New Roman" w:cs="Times New Roman"/>
          <w:sz w:val="24"/>
          <w:szCs w:val="24"/>
        </w:rPr>
        <w:t xml:space="preserve">. </w:t>
      </w:r>
    </w:p>
    <w:p w14:paraId="6F7431E4" w14:textId="77777777" w:rsidR="00DA2437" w:rsidRDefault="00D96D7F" w:rsidP="00F1758F">
      <w:pPr>
        <w:spacing w:line="360" w:lineRule="auto"/>
        <w:rPr>
          <w:rFonts w:ascii="Times New Roman" w:hAnsi="Times New Roman" w:cs="Times New Roman"/>
          <w:sz w:val="24"/>
          <w:szCs w:val="24"/>
        </w:rPr>
      </w:pPr>
      <w:r>
        <w:rPr>
          <w:rFonts w:ascii="Times New Roman" w:hAnsi="Times New Roman" w:cs="Times New Roman"/>
          <w:b/>
          <w:sz w:val="24"/>
          <w:szCs w:val="24"/>
        </w:rPr>
        <w:t>Conclusions</w:t>
      </w:r>
      <w:r w:rsidR="006535B1" w:rsidRPr="00D96D7F">
        <w:rPr>
          <w:rFonts w:ascii="Times New Roman" w:hAnsi="Times New Roman" w:cs="Times New Roman"/>
          <w:sz w:val="24"/>
          <w:szCs w:val="24"/>
        </w:rPr>
        <w:t xml:space="preserve">: </w:t>
      </w:r>
      <w:r w:rsidR="00470DDA" w:rsidRPr="00D96D7F">
        <w:rPr>
          <w:rFonts w:ascii="Times New Roman" w:hAnsi="Times New Roman" w:cs="Times New Roman"/>
          <w:sz w:val="24"/>
          <w:szCs w:val="24"/>
        </w:rPr>
        <w:t xml:space="preserve">Information on patient-specific education resources and vendors was generally difficult to find and not readily available. </w:t>
      </w:r>
      <w:r w:rsidR="00A2486A">
        <w:rPr>
          <w:rFonts w:ascii="Times New Roman" w:hAnsi="Times New Roman" w:cs="Times New Roman"/>
          <w:sz w:val="24"/>
          <w:szCs w:val="24"/>
        </w:rPr>
        <w:t>Several</w:t>
      </w:r>
      <w:r w:rsidR="00470DDA" w:rsidRPr="00D96D7F">
        <w:rPr>
          <w:rFonts w:ascii="Times New Roman" w:hAnsi="Times New Roman" w:cs="Times New Roman"/>
          <w:sz w:val="24"/>
          <w:szCs w:val="24"/>
        </w:rPr>
        <w:t xml:space="preserve"> frequently used patient</w:t>
      </w:r>
      <w:r w:rsidR="007502C9">
        <w:rPr>
          <w:rFonts w:ascii="Times New Roman" w:hAnsi="Times New Roman" w:cs="Times New Roman"/>
          <w:sz w:val="24"/>
          <w:szCs w:val="24"/>
        </w:rPr>
        <w:t>-specific</w:t>
      </w:r>
      <w:r w:rsidR="00470DDA" w:rsidRPr="00D96D7F">
        <w:rPr>
          <w:rFonts w:ascii="Times New Roman" w:hAnsi="Times New Roman" w:cs="Times New Roman"/>
          <w:sz w:val="24"/>
          <w:szCs w:val="24"/>
        </w:rPr>
        <w:t xml:space="preserve"> education resources were determined</w:t>
      </w:r>
      <w:r w:rsidR="00A2486A">
        <w:rPr>
          <w:rFonts w:ascii="Times New Roman" w:hAnsi="Times New Roman" w:cs="Times New Roman"/>
          <w:sz w:val="24"/>
          <w:szCs w:val="24"/>
        </w:rPr>
        <w:t>, including</w:t>
      </w:r>
      <w:r w:rsidR="00A2486A" w:rsidRPr="00D96D7F">
        <w:rPr>
          <w:rFonts w:ascii="Times New Roman" w:hAnsi="Times New Roman" w:cs="Times New Roman"/>
          <w:sz w:val="24"/>
          <w:szCs w:val="24"/>
        </w:rPr>
        <w:t xml:space="preserve"> </w:t>
      </w:r>
      <w:r w:rsidR="00A2486A">
        <w:rPr>
          <w:rFonts w:ascii="Times New Roman" w:hAnsi="Times New Roman" w:cs="Times New Roman"/>
          <w:sz w:val="24"/>
          <w:szCs w:val="24"/>
        </w:rPr>
        <w:t xml:space="preserve">both </w:t>
      </w:r>
      <w:r w:rsidR="00470DDA" w:rsidRPr="00D96D7F">
        <w:rPr>
          <w:rFonts w:ascii="Times New Roman" w:hAnsi="Times New Roman" w:cs="Times New Roman"/>
          <w:sz w:val="24"/>
          <w:szCs w:val="24"/>
        </w:rPr>
        <w:t xml:space="preserve">licensed </w:t>
      </w:r>
      <w:r w:rsidR="007163D5">
        <w:rPr>
          <w:rFonts w:ascii="Times New Roman" w:hAnsi="Times New Roman" w:cs="Times New Roman"/>
          <w:sz w:val="24"/>
          <w:szCs w:val="24"/>
        </w:rPr>
        <w:t xml:space="preserve">vendor </w:t>
      </w:r>
      <w:r w:rsidR="00470DDA" w:rsidRPr="00D96D7F">
        <w:rPr>
          <w:rFonts w:ascii="Times New Roman" w:hAnsi="Times New Roman" w:cs="Times New Roman"/>
          <w:sz w:val="24"/>
          <w:szCs w:val="24"/>
        </w:rPr>
        <w:t xml:space="preserve">products and </w:t>
      </w:r>
      <w:r w:rsidR="007163D5">
        <w:rPr>
          <w:rFonts w:ascii="Times New Roman" w:hAnsi="Times New Roman" w:cs="Times New Roman"/>
          <w:sz w:val="24"/>
          <w:szCs w:val="24"/>
        </w:rPr>
        <w:t xml:space="preserve">proprietary EHR </w:t>
      </w:r>
      <w:r w:rsidR="00470DDA" w:rsidRPr="00D96D7F">
        <w:rPr>
          <w:rFonts w:ascii="Times New Roman" w:hAnsi="Times New Roman" w:cs="Times New Roman"/>
          <w:sz w:val="24"/>
          <w:szCs w:val="24"/>
        </w:rPr>
        <w:t>resources. Partnerships between resource vendors and EHRs are complicated</w:t>
      </w:r>
      <w:r w:rsidR="007163D5">
        <w:rPr>
          <w:rFonts w:ascii="Times New Roman" w:hAnsi="Times New Roman" w:cs="Times New Roman"/>
          <w:sz w:val="24"/>
          <w:szCs w:val="24"/>
        </w:rPr>
        <w:t xml:space="preserve"> and vendor roles within an EHR are often difficult to define from an EHR website</w:t>
      </w:r>
      <w:r w:rsidR="00470DDA" w:rsidRPr="00D96D7F">
        <w:rPr>
          <w:rFonts w:ascii="Times New Roman" w:hAnsi="Times New Roman" w:cs="Times New Roman"/>
          <w:sz w:val="24"/>
          <w:szCs w:val="24"/>
        </w:rPr>
        <w:t xml:space="preserve">. </w:t>
      </w:r>
      <w:r w:rsidR="00A2486A">
        <w:rPr>
          <w:rFonts w:ascii="Times New Roman" w:hAnsi="Times New Roman" w:cs="Times New Roman"/>
          <w:sz w:val="24"/>
          <w:szCs w:val="24"/>
        </w:rPr>
        <w:t xml:space="preserve">Future </w:t>
      </w:r>
      <w:r w:rsidR="00470DDA" w:rsidRPr="00D96D7F">
        <w:rPr>
          <w:rFonts w:ascii="Times New Roman" w:hAnsi="Times New Roman" w:cs="Times New Roman"/>
          <w:sz w:val="24"/>
          <w:szCs w:val="24"/>
        </w:rPr>
        <w:t>research is suggested</w:t>
      </w:r>
      <w:r w:rsidR="00A2486A">
        <w:rPr>
          <w:rFonts w:ascii="Times New Roman" w:hAnsi="Times New Roman" w:cs="Times New Roman"/>
          <w:sz w:val="24"/>
          <w:szCs w:val="24"/>
        </w:rPr>
        <w:t xml:space="preserve"> since the</w:t>
      </w:r>
      <w:r w:rsidR="007163D5">
        <w:rPr>
          <w:rFonts w:ascii="Times New Roman" w:hAnsi="Times New Roman" w:cs="Times New Roman"/>
          <w:sz w:val="24"/>
          <w:szCs w:val="24"/>
        </w:rPr>
        <w:t xml:space="preserve"> number of</w:t>
      </w:r>
      <w:r w:rsidR="00A2486A">
        <w:rPr>
          <w:rFonts w:ascii="Times New Roman" w:hAnsi="Times New Roman" w:cs="Times New Roman"/>
          <w:sz w:val="24"/>
          <w:szCs w:val="24"/>
        </w:rPr>
        <w:t xml:space="preserve"> ONC </w:t>
      </w:r>
      <w:r w:rsidR="007163D5">
        <w:rPr>
          <w:rFonts w:ascii="Times New Roman" w:hAnsi="Times New Roman" w:cs="Times New Roman"/>
          <w:sz w:val="24"/>
          <w:szCs w:val="24"/>
        </w:rPr>
        <w:t>certified EHR</w:t>
      </w:r>
      <w:r w:rsidR="00A2486A">
        <w:rPr>
          <w:rFonts w:ascii="Times New Roman" w:hAnsi="Times New Roman" w:cs="Times New Roman"/>
          <w:sz w:val="24"/>
          <w:szCs w:val="24"/>
        </w:rPr>
        <w:t xml:space="preserve"> pro</w:t>
      </w:r>
      <w:r w:rsidR="007163D5">
        <w:rPr>
          <w:rFonts w:ascii="Times New Roman" w:hAnsi="Times New Roman" w:cs="Times New Roman"/>
          <w:sz w:val="24"/>
          <w:szCs w:val="24"/>
        </w:rPr>
        <w:t xml:space="preserve">ducts has increased and the certification process </w:t>
      </w:r>
      <w:r w:rsidR="007502C9">
        <w:rPr>
          <w:rFonts w:ascii="Times New Roman" w:hAnsi="Times New Roman" w:cs="Times New Roman"/>
          <w:sz w:val="24"/>
          <w:szCs w:val="24"/>
        </w:rPr>
        <w:t xml:space="preserve">continues </w:t>
      </w:r>
      <w:r w:rsidR="007163D5">
        <w:rPr>
          <w:rFonts w:ascii="Times New Roman" w:hAnsi="Times New Roman" w:cs="Times New Roman"/>
          <w:sz w:val="24"/>
          <w:szCs w:val="24"/>
        </w:rPr>
        <w:t xml:space="preserve">to </w:t>
      </w:r>
      <w:r w:rsidR="007502C9">
        <w:rPr>
          <w:rFonts w:ascii="Times New Roman" w:hAnsi="Times New Roman" w:cs="Times New Roman"/>
          <w:sz w:val="24"/>
          <w:szCs w:val="24"/>
        </w:rPr>
        <w:t>evolve</w:t>
      </w:r>
      <w:r w:rsidR="007163D5">
        <w:rPr>
          <w:rFonts w:ascii="Times New Roman" w:hAnsi="Times New Roman" w:cs="Times New Roman"/>
          <w:sz w:val="24"/>
          <w:szCs w:val="24"/>
        </w:rPr>
        <w:t xml:space="preserve">. </w:t>
      </w:r>
    </w:p>
    <w:p w14:paraId="6F7431E5" w14:textId="77777777" w:rsidR="00775B15" w:rsidRPr="002B7283" w:rsidRDefault="00DA2437" w:rsidP="002B7283">
      <w:pPr>
        <w:pStyle w:val="Heading1"/>
        <w:rPr>
          <w:color w:val="auto"/>
        </w:rPr>
      </w:pPr>
      <w:bookmarkStart w:id="1" w:name="_Toc284948707"/>
      <w:r w:rsidRPr="002B7283">
        <w:rPr>
          <w:color w:val="auto"/>
        </w:rPr>
        <w:t>Introduction</w:t>
      </w:r>
      <w:bookmarkEnd w:id="1"/>
    </w:p>
    <w:p w14:paraId="6F7431E6" w14:textId="77777777" w:rsidR="002B7283" w:rsidRDefault="002B7283" w:rsidP="00F1758F">
      <w:pPr>
        <w:spacing w:line="360" w:lineRule="auto"/>
        <w:contextualSpacing/>
        <w:rPr>
          <w:rFonts w:ascii="Times New Roman" w:hAnsi="Times New Roman" w:cs="Times New Roman"/>
          <w:sz w:val="24"/>
          <w:szCs w:val="24"/>
        </w:rPr>
      </w:pPr>
    </w:p>
    <w:p w14:paraId="6F7431E7" w14:textId="77777777" w:rsidR="00FD48B1" w:rsidRDefault="0081314E" w:rsidP="00F1758F">
      <w:pPr>
        <w:spacing w:line="360" w:lineRule="auto"/>
        <w:contextualSpacing/>
        <w:rPr>
          <w:rFonts w:ascii="Times New Roman" w:hAnsi="Times New Roman" w:cs="Times New Roman"/>
          <w:sz w:val="24"/>
          <w:szCs w:val="24"/>
        </w:rPr>
      </w:pPr>
      <w:r w:rsidRPr="00896265">
        <w:rPr>
          <w:rFonts w:ascii="Times New Roman" w:hAnsi="Times New Roman" w:cs="Times New Roman"/>
          <w:sz w:val="24"/>
          <w:szCs w:val="24"/>
        </w:rPr>
        <w:t xml:space="preserve">Since its </w:t>
      </w:r>
      <w:r w:rsidR="00F16020">
        <w:rPr>
          <w:rFonts w:ascii="Times New Roman" w:hAnsi="Times New Roman" w:cs="Times New Roman"/>
          <w:sz w:val="24"/>
          <w:szCs w:val="24"/>
        </w:rPr>
        <w:t>establishment</w:t>
      </w:r>
      <w:r w:rsidRPr="00896265">
        <w:rPr>
          <w:rFonts w:ascii="Times New Roman" w:hAnsi="Times New Roman" w:cs="Times New Roman"/>
          <w:sz w:val="24"/>
          <w:szCs w:val="24"/>
        </w:rPr>
        <w:t xml:space="preserve">, the National Library of Medicine (NLM) has provided services and health information </w:t>
      </w:r>
      <w:r w:rsidR="007E2DD9">
        <w:rPr>
          <w:rFonts w:ascii="Times New Roman" w:hAnsi="Times New Roman" w:cs="Times New Roman"/>
          <w:sz w:val="24"/>
          <w:szCs w:val="24"/>
        </w:rPr>
        <w:t xml:space="preserve">ranging </w:t>
      </w:r>
      <w:r w:rsidR="00FD48B1">
        <w:rPr>
          <w:rFonts w:ascii="Times New Roman" w:hAnsi="Times New Roman" w:cs="Times New Roman"/>
          <w:sz w:val="24"/>
          <w:szCs w:val="24"/>
        </w:rPr>
        <w:t xml:space="preserve">from </w:t>
      </w:r>
      <w:r w:rsidR="007E2DD9">
        <w:rPr>
          <w:rFonts w:ascii="Times New Roman" w:hAnsi="Times New Roman" w:cs="Times New Roman"/>
          <w:sz w:val="24"/>
          <w:szCs w:val="24"/>
        </w:rPr>
        <w:t xml:space="preserve">traditional reference to databases such as PubMed. </w:t>
      </w:r>
      <w:r w:rsidR="00775B15" w:rsidRPr="00896265">
        <w:rPr>
          <w:rFonts w:ascii="Times New Roman" w:hAnsi="Times New Roman" w:cs="Times New Roman"/>
          <w:sz w:val="24"/>
          <w:szCs w:val="24"/>
        </w:rPr>
        <w:t xml:space="preserve">The NLM continues to </w:t>
      </w:r>
      <w:r w:rsidRPr="00896265">
        <w:rPr>
          <w:rFonts w:ascii="Times New Roman" w:hAnsi="Times New Roman" w:cs="Times New Roman"/>
          <w:sz w:val="24"/>
          <w:szCs w:val="24"/>
        </w:rPr>
        <w:t>provide access to health information in</w:t>
      </w:r>
      <w:r w:rsidR="00775B15" w:rsidRPr="00896265">
        <w:rPr>
          <w:rFonts w:ascii="Times New Roman" w:hAnsi="Times New Roman" w:cs="Times New Roman"/>
          <w:sz w:val="24"/>
          <w:szCs w:val="24"/>
        </w:rPr>
        <w:t xml:space="preserve"> innovative ways </w:t>
      </w:r>
      <w:r w:rsidRPr="00896265">
        <w:rPr>
          <w:rFonts w:ascii="Times New Roman" w:hAnsi="Times New Roman" w:cs="Times New Roman"/>
          <w:sz w:val="24"/>
          <w:szCs w:val="24"/>
        </w:rPr>
        <w:t xml:space="preserve">and a variety of settings. </w:t>
      </w:r>
      <w:r w:rsidR="00FD48B1" w:rsidRPr="006178A3">
        <w:rPr>
          <w:rFonts w:ascii="Times New Roman" w:hAnsi="Times New Roman" w:cs="Times New Roman"/>
          <w:sz w:val="24"/>
          <w:szCs w:val="24"/>
        </w:rPr>
        <w:t xml:space="preserve">MedlinePlus Connect is one of the NLM’s </w:t>
      </w:r>
      <w:r w:rsidR="00BF48E2">
        <w:rPr>
          <w:rFonts w:ascii="Times New Roman" w:hAnsi="Times New Roman" w:cs="Times New Roman"/>
          <w:sz w:val="24"/>
          <w:szCs w:val="24"/>
        </w:rPr>
        <w:t>newest</w:t>
      </w:r>
      <w:r w:rsidR="00FD48B1" w:rsidRPr="006178A3">
        <w:rPr>
          <w:rFonts w:ascii="Times New Roman" w:hAnsi="Times New Roman" w:cs="Times New Roman"/>
          <w:sz w:val="24"/>
          <w:szCs w:val="24"/>
        </w:rPr>
        <w:t xml:space="preserve"> services.</w:t>
      </w:r>
      <w:r w:rsidR="00FD48B1">
        <w:rPr>
          <w:rFonts w:ascii="Times New Roman" w:hAnsi="Times New Roman" w:cs="Times New Roman"/>
          <w:sz w:val="24"/>
          <w:szCs w:val="24"/>
        </w:rPr>
        <w:t xml:space="preserve"> </w:t>
      </w:r>
    </w:p>
    <w:p w14:paraId="6F7431E8" w14:textId="77777777" w:rsidR="00DA2437" w:rsidRDefault="00DA2437" w:rsidP="00F1758F">
      <w:pPr>
        <w:spacing w:line="360" w:lineRule="auto"/>
        <w:contextualSpacing/>
        <w:rPr>
          <w:rFonts w:ascii="Times New Roman" w:hAnsi="Times New Roman" w:cs="Times New Roman"/>
          <w:sz w:val="24"/>
          <w:szCs w:val="24"/>
        </w:rPr>
      </w:pPr>
    </w:p>
    <w:p w14:paraId="6F7431E9" w14:textId="77777777" w:rsidR="00775B15" w:rsidRPr="00896265" w:rsidRDefault="00775B15" w:rsidP="00F1758F">
      <w:pPr>
        <w:spacing w:line="360" w:lineRule="auto"/>
        <w:contextualSpacing/>
        <w:rPr>
          <w:rFonts w:ascii="Times New Roman" w:hAnsi="Times New Roman" w:cs="Times New Roman"/>
          <w:sz w:val="24"/>
          <w:szCs w:val="24"/>
        </w:rPr>
      </w:pPr>
      <w:r w:rsidRPr="00896265">
        <w:rPr>
          <w:rFonts w:ascii="Times New Roman" w:hAnsi="Times New Roman" w:cs="Times New Roman"/>
          <w:sz w:val="24"/>
          <w:szCs w:val="24"/>
        </w:rPr>
        <w:lastRenderedPageBreak/>
        <w:t xml:space="preserve">MedlinePlus Connect is a free service of the NLM and the National Institutes of Health (NIH) that </w:t>
      </w:r>
      <w:r w:rsidR="002E315E" w:rsidRPr="00574EDB">
        <w:rPr>
          <w:rFonts w:ascii="Times New Roman" w:hAnsi="Times New Roman" w:cs="Times New Roman"/>
          <w:sz w:val="24"/>
          <w:szCs w:val="24"/>
        </w:rPr>
        <w:t xml:space="preserve">allows electronic health record (EHR) systems to link to </w:t>
      </w:r>
      <w:r w:rsidR="00620CE4" w:rsidRPr="00574EDB">
        <w:rPr>
          <w:rFonts w:ascii="Times New Roman" w:hAnsi="Times New Roman" w:cs="Times New Roman"/>
          <w:sz w:val="24"/>
          <w:szCs w:val="24"/>
        </w:rPr>
        <w:t>MedlinePlus</w:t>
      </w:r>
      <w:r w:rsidR="00E3129B" w:rsidRPr="00574EDB">
        <w:rPr>
          <w:rFonts w:ascii="Times New Roman" w:hAnsi="Times New Roman" w:cs="Times New Roman"/>
          <w:sz w:val="24"/>
          <w:szCs w:val="24"/>
        </w:rPr>
        <w:t xml:space="preserve"> information using existing code sets</w:t>
      </w:r>
      <w:r w:rsidR="00B13A8B" w:rsidRPr="00574EDB">
        <w:rPr>
          <w:rFonts w:ascii="Times New Roman" w:hAnsi="Times New Roman" w:cs="Times New Roman"/>
          <w:sz w:val="24"/>
          <w:szCs w:val="24"/>
        </w:rPr>
        <w:t xml:space="preserve"> [1]</w:t>
      </w:r>
      <w:r w:rsidR="002E315E" w:rsidRPr="00574EDB">
        <w:rPr>
          <w:rFonts w:ascii="Times New Roman" w:hAnsi="Times New Roman" w:cs="Times New Roman"/>
          <w:sz w:val="24"/>
          <w:szCs w:val="24"/>
        </w:rPr>
        <w:t xml:space="preserve">. </w:t>
      </w:r>
      <w:r w:rsidR="00FD48B1" w:rsidRPr="00574EDB">
        <w:rPr>
          <w:rFonts w:ascii="Times New Roman" w:hAnsi="Times New Roman" w:cs="Times New Roman"/>
          <w:sz w:val="24"/>
          <w:szCs w:val="24"/>
        </w:rPr>
        <w:t>MedlinePlus is a</w:t>
      </w:r>
      <w:r w:rsidR="00BF48E2" w:rsidRPr="00574EDB">
        <w:rPr>
          <w:rFonts w:ascii="Times New Roman" w:hAnsi="Times New Roman" w:cs="Times New Roman"/>
          <w:sz w:val="24"/>
          <w:szCs w:val="24"/>
        </w:rPr>
        <w:t>n online</w:t>
      </w:r>
      <w:r w:rsidR="00FD48B1" w:rsidRPr="00574EDB">
        <w:rPr>
          <w:rFonts w:ascii="Times New Roman" w:hAnsi="Times New Roman" w:cs="Times New Roman"/>
          <w:sz w:val="24"/>
          <w:szCs w:val="24"/>
        </w:rPr>
        <w:t xml:space="preserve"> consumer health resource of the NLM and NIH that provides information about health topics (diseases, conditions, and wellness issues) </w:t>
      </w:r>
      <w:r w:rsidR="00BF48E2" w:rsidRPr="00574EDB">
        <w:rPr>
          <w:rFonts w:ascii="Times New Roman" w:hAnsi="Times New Roman" w:cs="Times New Roman"/>
          <w:sz w:val="24"/>
          <w:szCs w:val="24"/>
        </w:rPr>
        <w:t>as well as</w:t>
      </w:r>
      <w:r w:rsidR="00FD48B1" w:rsidRPr="00574EDB">
        <w:rPr>
          <w:rFonts w:ascii="Times New Roman" w:hAnsi="Times New Roman" w:cs="Times New Roman"/>
          <w:sz w:val="24"/>
          <w:szCs w:val="24"/>
        </w:rPr>
        <w:t xml:space="preserve"> drugs and supplements. MedlinePlus currently provides information on over 800 diseases and condition health topics and drug information. </w:t>
      </w:r>
      <w:r w:rsidR="00BF48E2" w:rsidRPr="00574EDB">
        <w:rPr>
          <w:rFonts w:ascii="Times New Roman" w:hAnsi="Times New Roman" w:cs="Times New Roman"/>
          <w:sz w:val="24"/>
          <w:szCs w:val="24"/>
        </w:rPr>
        <w:t>Used within an EHR, M</w:t>
      </w:r>
      <w:r w:rsidR="002E315E" w:rsidRPr="00574EDB">
        <w:rPr>
          <w:rFonts w:ascii="Times New Roman" w:hAnsi="Times New Roman" w:cs="Times New Roman"/>
          <w:sz w:val="24"/>
          <w:szCs w:val="24"/>
        </w:rPr>
        <w:t>edlinePlus Connect matches ICD-9-CM</w:t>
      </w:r>
      <w:r w:rsidR="007502C9" w:rsidRPr="00574EDB">
        <w:rPr>
          <w:rFonts w:ascii="Times New Roman" w:hAnsi="Times New Roman" w:cs="Times New Roman"/>
          <w:sz w:val="24"/>
          <w:szCs w:val="24"/>
        </w:rPr>
        <w:t xml:space="preserve"> (International Classification of Diseases, Ninth Revision, Clinical Modification)</w:t>
      </w:r>
      <w:r w:rsidR="002E315E" w:rsidRPr="00574EDB">
        <w:rPr>
          <w:rFonts w:ascii="Times New Roman" w:hAnsi="Times New Roman" w:cs="Times New Roman"/>
          <w:sz w:val="24"/>
          <w:szCs w:val="24"/>
        </w:rPr>
        <w:t xml:space="preserve"> and SNOMED CT </w:t>
      </w:r>
      <w:r w:rsidR="007502C9" w:rsidRPr="00574EDB">
        <w:rPr>
          <w:rFonts w:ascii="Times New Roman" w:hAnsi="Times New Roman" w:cs="Times New Roman"/>
          <w:sz w:val="24"/>
          <w:szCs w:val="24"/>
        </w:rPr>
        <w:t xml:space="preserve">(Standardized Nomenclature of Medicine – Clinical Terms) </w:t>
      </w:r>
      <w:r w:rsidR="002E315E" w:rsidRPr="00574EDB">
        <w:rPr>
          <w:rFonts w:ascii="Times New Roman" w:hAnsi="Times New Roman" w:cs="Times New Roman"/>
          <w:sz w:val="24"/>
          <w:szCs w:val="24"/>
        </w:rPr>
        <w:t xml:space="preserve">CORE </w:t>
      </w:r>
      <w:r w:rsidR="007502C9" w:rsidRPr="00574EDB">
        <w:rPr>
          <w:rFonts w:ascii="Times New Roman" w:hAnsi="Times New Roman" w:cs="Times New Roman"/>
          <w:sz w:val="24"/>
          <w:szCs w:val="24"/>
        </w:rPr>
        <w:t xml:space="preserve">(Clinical Observations Recording and </w:t>
      </w:r>
      <w:proofErr w:type="gramStart"/>
      <w:r w:rsidR="007502C9" w:rsidRPr="00574EDB">
        <w:rPr>
          <w:rFonts w:ascii="Times New Roman" w:hAnsi="Times New Roman" w:cs="Times New Roman"/>
          <w:sz w:val="24"/>
          <w:szCs w:val="24"/>
        </w:rPr>
        <w:t>Encoding )</w:t>
      </w:r>
      <w:proofErr w:type="gramEnd"/>
      <w:r w:rsidR="007502C9" w:rsidRPr="00574EDB">
        <w:rPr>
          <w:rFonts w:ascii="Times New Roman" w:hAnsi="Times New Roman" w:cs="Times New Roman"/>
          <w:sz w:val="24"/>
          <w:szCs w:val="24"/>
        </w:rPr>
        <w:t xml:space="preserve"> </w:t>
      </w:r>
      <w:r w:rsidR="002E315E" w:rsidRPr="00574EDB">
        <w:rPr>
          <w:rFonts w:ascii="Times New Roman" w:hAnsi="Times New Roman" w:cs="Times New Roman"/>
          <w:sz w:val="24"/>
          <w:szCs w:val="24"/>
        </w:rPr>
        <w:t>Problem List Subset codes to MedlinePlus consumer health topic pages and NDC</w:t>
      </w:r>
      <w:r w:rsidR="00E3129B" w:rsidRPr="00574EDB">
        <w:rPr>
          <w:rFonts w:ascii="Times New Roman" w:hAnsi="Times New Roman" w:cs="Times New Roman"/>
          <w:sz w:val="24"/>
          <w:szCs w:val="24"/>
        </w:rPr>
        <w:t>s</w:t>
      </w:r>
      <w:r w:rsidR="007502C9" w:rsidRPr="00574EDB">
        <w:rPr>
          <w:rFonts w:ascii="Times New Roman" w:hAnsi="Times New Roman" w:cs="Times New Roman"/>
          <w:sz w:val="24"/>
          <w:szCs w:val="24"/>
        </w:rPr>
        <w:t xml:space="preserve"> (National Drug Codes)</w:t>
      </w:r>
      <w:r w:rsidR="00E3129B" w:rsidRPr="00574EDB">
        <w:rPr>
          <w:rFonts w:ascii="Times New Roman" w:hAnsi="Times New Roman" w:cs="Times New Roman"/>
          <w:sz w:val="24"/>
          <w:szCs w:val="24"/>
        </w:rPr>
        <w:t xml:space="preserve"> or </w:t>
      </w:r>
      <w:r w:rsidR="002E315E" w:rsidRPr="00574EDB">
        <w:rPr>
          <w:rFonts w:ascii="Times New Roman" w:hAnsi="Times New Roman" w:cs="Times New Roman"/>
          <w:sz w:val="24"/>
          <w:szCs w:val="24"/>
        </w:rPr>
        <w:t>RXCUI</w:t>
      </w:r>
      <w:r w:rsidR="00E3129B" w:rsidRPr="00574EDB">
        <w:rPr>
          <w:rFonts w:ascii="Times New Roman" w:hAnsi="Times New Roman" w:cs="Times New Roman"/>
          <w:sz w:val="24"/>
          <w:szCs w:val="24"/>
        </w:rPr>
        <w:t>s</w:t>
      </w:r>
      <w:r w:rsidR="007502C9" w:rsidRPr="00574EDB">
        <w:rPr>
          <w:rFonts w:ascii="Times New Roman" w:hAnsi="Times New Roman" w:cs="Times New Roman"/>
          <w:sz w:val="24"/>
          <w:szCs w:val="24"/>
        </w:rPr>
        <w:t xml:space="preserve"> (</w:t>
      </w:r>
      <w:proofErr w:type="spellStart"/>
      <w:r w:rsidR="007502C9" w:rsidRPr="00574EDB">
        <w:rPr>
          <w:rFonts w:ascii="Times New Roman" w:hAnsi="Times New Roman" w:cs="Times New Roman"/>
          <w:sz w:val="24"/>
          <w:szCs w:val="24"/>
        </w:rPr>
        <w:t>RxNorm</w:t>
      </w:r>
      <w:proofErr w:type="spellEnd"/>
      <w:r w:rsidR="007502C9" w:rsidRPr="00574EDB">
        <w:rPr>
          <w:rFonts w:ascii="Times New Roman" w:hAnsi="Times New Roman" w:cs="Times New Roman"/>
          <w:sz w:val="24"/>
          <w:szCs w:val="24"/>
        </w:rPr>
        <w:t xml:space="preserve"> concept unique identifiers)</w:t>
      </w:r>
      <w:r w:rsidR="002E315E" w:rsidRPr="00574EDB">
        <w:rPr>
          <w:rFonts w:ascii="Times New Roman" w:hAnsi="Times New Roman" w:cs="Times New Roman"/>
          <w:sz w:val="24"/>
          <w:szCs w:val="24"/>
        </w:rPr>
        <w:t xml:space="preserve"> to patient medication information</w:t>
      </w:r>
      <w:r w:rsidR="00B13A8B" w:rsidRPr="00574EDB">
        <w:rPr>
          <w:rFonts w:ascii="Times New Roman" w:hAnsi="Times New Roman" w:cs="Times New Roman"/>
          <w:sz w:val="24"/>
          <w:szCs w:val="24"/>
        </w:rPr>
        <w:t xml:space="preserve"> </w:t>
      </w:r>
      <w:r w:rsidR="002E315E" w:rsidRPr="00574EDB">
        <w:rPr>
          <w:rFonts w:ascii="Times New Roman" w:hAnsi="Times New Roman" w:cs="Times New Roman"/>
          <w:sz w:val="24"/>
          <w:szCs w:val="24"/>
        </w:rPr>
        <w:t>[</w:t>
      </w:r>
      <w:r w:rsidR="00B13A8B" w:rsidRPr="00574EDB">
        <w:rPr>
          <w:rFonts w:ascii="Times New Roman" w:hAnsi="Times New Roman" w:cs="Times New Roman"/>
          <w:sz w:val="24"/>
          <w:szCs w:val="24"/>
        </w:rPr>
        <w:t>2]</w:t>
      </w:r>
      <w:r w:rsidR="002E315E" w:rsidRPr="00574EDB">
        <w:rPr>
          <w:rFonts w:ascii="Times New Roman" w:hAnsi="Times New Roman" w:cs="Times New Roman"/>
          <w:sz w:val="24"/>
          <w:szCs w:val="24"/>
        </w:rPr>
        <w:t xml:space="preserve">.  </w:t>
      </w:r>
      <w:r w:rsidR="00620CE4" w:rsidRPr="00574EDB">
        <w:rPr>
          <w:rFonts w:ascii="Times New Roman" w:hAnsi="Times New Roman" w:cs="Times New Roman"/>
          <w:sz w:val="24"/>
          <w:szCs w:val="24"/>
        </w:rPr>
        <w:t xml:space="preserve">The MedlinePlus Connect application programming interface (API) conforms to the </w:t>
      </w:r>
      <w:r w:rsidR="00113F4B" w:rsidRPr="00574EDB">
        <w:rPr>
          <w:rFonts w:ascii="Times New Roman" w:hAnsi="Times New Roman" w:cs="Times New Roman"/>
          <w:sz w:val="24"/>
          <w:szCs w:val="24"/>
        </w:rPr>
        <w:t>Health Level 7 (</w:t>
      </w:r>
      <w:r w:rsidR="00620CE4" w:rsidRPr="00574EDB">
        <w:rPr>
          <w:rFonts w:ascii="Times New Roman" w:hAnsi="Times New Roman" w:cs="Times New Roman"/>
          <w:sz w:val="24"/>
          <w:szCs w:val="24"/>
        </w:rPr>
        <w:t>HL7</w:t>
      </w:r>
      <w:r w:rsidR="00113F4B" w:rsidRPr="00574EDB">
        <w:rPr>
          <w:rFonts w:ascii="Times New Roman" w:hAnsi="Times New Roman" w:cs="Times New Roman"/>
          <w:sz w:val="24"/>
          <w:szCs w:val="24"/>
        </w:rPr>
        <w:t>)</w:t>
      </w:r>
      <w:r w:rsidR="00620CE4" w:rsidRPr="00574EDB">
        <w:rPr>
          <w:rFonts w:ascii="Times New Roman" w:hAnsi="Times New Roman" w:cs="Times New Roman"/>
          <w:sz w:val="24"/>
          <w:szCs w:val="24"/>
        </w:rPr>
        <w:t xml:space="preserve"> </w:t>
      </w:r>
      <w:proofErr w:type="spellStart"/>
      <w:r w:rsidR="00620CE4" w:rsidRPr="00574EDB">
        <w:rPr>
          <w:rFonts w:ascii="Times New Roman" w:hAnsi="Times New Roman" w:cs="Times New Roman"/>
          <w:sz w:val="24"/>
          <w:szCs w:val="24"/>
        </w:rPr>
        <w:t>Infobutton</w:t>
      </w:r>
      <w:proofErr w:type="spellEnd"/>
      <w:r w:rsidR="00620CE4" w:rsidRPr="00574EDB">
        <w:rPr>
          <w:rFonts w:ascii="Times New Roman" w:hAnsi="Times New Roman" w:cs="Times New Roman"/>
          <w:sz w:val="24"/>
          <w:szCs w:val="24"/>
        </w:rPr>
        <w:t xml:space="preserve"> specifications.</w:t>
      </w:r>
      <w:r w:rsidR="00620CE4" w:rsidRPr="00896265">
        <w:rPr>
          <w:rFonts w:ascii="Times New Roman" w:hAnsi="Times New Roman" w:cs="Times New Roman"/>
          <w:sz w:val="24"/>
          <w:szCs w:val="24"/>
        </w:rPr>
        <w:t xml:space="preserve"> </w:t>
      </w:r>
    </w:p>
    <w:p w14:paraId="6F7431EA" w14:textId="77777777" w:rsidR="00DA2437" w:rsidRDefault="00DA2437" w:rsidP="00F1758F">
      <w:pPr>
        <w:spacing w:before="100" w:beforeAutospacing="1" w:after="100" w:afterAutospacing="1" w:line="360" w:lineRule="auto"/>
        <w:contextualSpacing/>
        <w:rPr>
          <w:rFonts w:ascii="Times New Roman" w:hAnsi="Times New Roman" w:cs="Times New Roman"/>
          <w:sz w:val="24"/>
          <w:szCs w:val="24"/>
        </w:rPr>
      </w:pPr>
    </w:p>
    <w:p w14:paraId="6F7431EB" w14:textId="77777777" w:rsidR="00BF48E2" w:rsidRDefault="00405CE8" w:rsidP="00F1758F">
      <w:pPr>
        <w:spacing w:before="100" w:beforeAutospacing="1" w:after="100" w:afterAutospacing="1" w:line="360" w:lineRule="auto"/>
        <w:contextualSpacing/>
        <w:rPr>
          <w:rFonts w:ascii="Times New Roman" w:hAnsi="Times New Roman" w:cs="Times New Roman"/>
          <w:sz w:val="24"/>
          <w:szCs w:val="24"/>
        </w:rPr>
      </w:pPr>
      <w:r w:rsidRPr="00896265">
        <w:rPr>
          <w:rFonts w:ascii="Times New Roman" w:hAnsi="Times New Roman" w:cs="Times New Roman"/>
          <w:sz w:val="24"/>
          <w:szCs w:val="24"/>
        </w:rPr>
        <w:t xml:space="preserve">The </w:t>
      </w:r>
      <w:r w:rsidR="00FD48B1" w:rsidRPr="006178A3">
        <w:rPr>
          <w:rFonts w:ascii="Times New Roman" w:hAnsi="Times New Roman" w:cs="Times New Roman"/>
          <w:sz w:val="24"/>
          <w:szCs w:val="24"/>
        </w:rPr>
        <w:t>Health Information Technology for Economic and Clinical Health (HITECH)</w:t>
      </w:r>
      <w:r w:rsidR="000C7BC0">
        <w:rPr>
          <w:rFonts w:ascii="Times New Roman" w:hAnsi="Times New Roman" w:cs="Times New Roman"/>
          <w:sz w:val="24"/>
          <w:szCs w:val="24"/>
        </w:rPr>
        <w:t xml:space="preserve"> Act</w:t>
      </w:r>
      <w:r w:rsidR="00FD48B1" w:rsidRPr="006178A3">
        <w:rPr>
          <w:rFonts w:ascii="Times New Roman" w:hAnsi="Times New Roman" w:cs="Times New Roman"/>
          <w:sz w:val="24"/>
          <w:szCs w:val="24"/>
        </w:rPr>
        <w:t xml:space="preserve">, enacted as part of the American Recovery and Reinvestment Act (ARRA) of 2009, </w:t>
      </w:r>
      <w:r w:rsidR="00E43E99" w:rsidRPr="00896265">
        <w:rPr>
          <w:rFonts w:ascii="Times New Roman" w:hAnsi="Times New Roman" w:cs="Times New Roman"/>
          <w:sz w:val="24"/>
          <w:szCs w:val="24"/>
        </w:rPr>
        <w:t xml:space="preserve">supports the adoption and meaningful use of health information technology, </w:t>
      </w:r>
      <w:r w:rsidR="004B6BAD">
        <w:rPr>
          <w:rFonts w:ascii="Times New Roman" w:hAnsi="Times New Roman" w:cs="Times New Roman"/>
          <w:sz w:val="24"/>
          <w:szCs w:val="24"/>
        </w:rPr>
        <w:t xml:space="preserve">including EHRs. </w:t>
      </w:r>
      <w:r w:rsidR="000C7BC0">
        <w:rPr>
          <w:rFonts w:ascii="Times New Roman" w:hAnsi="Times New Roman" w:cs="Times New Roman"/>
          <w:sz w:val="24"/>
          <w:szCs w:val="24"/>
        </w:rPr>
        <w:t>As one</w:t>
      </w:r>
      <w:r w:rsidR="00FD48B1" w:rsidRPr="006178A3">
        <w:rPr>
          <w:rFonts w:ascii="Times New Roman" w:hAnsi="Times New Roman" w:cs="Times New Roman"/>
          <w:sz w:val="24"/>
          <w:szCs w:val="24"/>
        </w:rPr>
        <w:t xml:space="preserve"> result of the </w:t>
      </w:r>
      <w:r w:rsidR="00FD48B1">
        <w:rPr>
          <w:rFonts w:ascii="Times New Roman" w:hAnsi="Times New Roman" w:cs="Times New Roman"/>
          <w:sz w:val="24"/>
          <w:szCs w:val="24"/>
        </w:rPr>
        <w:t>HITECH Act</w:t>
      </w:r>
      <w:r w:rsidR="00FD48B1" w:rsidRPr="006178A3">
        <w:rPr>
          <w:rFonts w:ascii="Times New Roman" w:hAnsi="Times New Roman" w:cs="Times New Roman"/>
          <w:sz w:val="24"/>
          <w:szCs w:val="24"/>
        </w:rPr>
        <w:t xml:space="preserve">, </w:t>
      </w:r>
      <w:r w:rsidR="000C7BC0">
        <w:rPr>
          <w:rFonts w:ascii="Times New Roman" w:hAnsi="Times New Roman" w:cs="Times New Roman"/>
          <w:sz w:val="24"/>
          <w:szCs w:val="24"/>
        </w:rPr>
        <w:t xml:space="preserve">EHR vendors </w:t>
      </w:r>
      <w:r w:rsidR="00BF48E2">
        <w:rPr>
          <w:rFonts w:ascii="Times New Roman" w:hAnsi="Times New Roman" w:cs="Times New Roman"/>
          <w:sz w:val="24"/>
          <w:szCs w:val="24"/>
        </w:rPr>
        <w:t>need</w:t>
      </w:r>
      <w:r w:rsidR="000C7BC0">
        <w:rPr>
          <w:rFonts w:ascii="Times New Roman" w:hAnsi="Times New Roman" w:cs="Times New Roman"/>
          <w:sz w:val="24"/>
          <w:szCs w:val="24"/>
        </w:rPr>
        <w:t xml:space="preserve"> </w:t>
      </w:r>
      <w:r w:rsidR="00FD48B1" w:rsidRPr="006178A3">
        <w:rPr>
          <w:rFonts w:ascii="Times New Roman" w:hAnsi="Times New Roman" w:cs="Times New Roman"/>
          <w:sz w:val="24"/>
          <w:szCs w:val="24"/>
        </w:rPr>
        <w:t>to link from an EHR to patient</w:t>
      </w:r>
      <w:r w:rsidR="000C7BC0">
        <w:rPr>
          <w:rFonts w:ascii="Times New Roman" w:hAnsi="Times New Roman" w:cs="Times New Roman"/>
          <w:sz w:val="24"/>
          <w:szCs w:val="24"/>
        </w:rPr>
        <w:t xml:space="preserve">-specific education information. </w:t>
      </w:r>
      <w:r w:rsidR="00BF48E2" w:rsidRPr="00896265">
        <w:rPr>
          <w:rFonts w:ascii="Times New Roman" w:hAnsi="Times New Roman" w:cs="Times New Roman"/>
          <w:sz w:val="24"/>
          <w:szCs w:val="24"/>
        </w:rPr>
        <w:t xml:space="preserve">The Office of the National Coordinator for Health Information Technology (ONC) Temporary Certification Program was established in order to “provide a way for organizations to become authorized by the National Coordinator to test and certify electronic health record (EHR) technology” </w:t>
      </w:r>
      <w:r w:rsidR="00BF48E2" w:rsidRPr="00663C03">
        <w:rPr>
          <w:rFonts w:ascii="Times New Roman" w:hAnsi="Times New Roman" w:cs="Times New Roman"/>
          <w:sz w:val="24"/>
          <w:szCs w:val="24"/>
        </w:rPr>
        <w:t>[3]</w:t>
      </w:r>
      <w:r w:rsidR="00BF48E2" w:rsidRPr="00896265">
        <w:rPr>
          <w:rFonts w:ascii="Times New Roman" w:hAnsi="Times New Roman" w:cs="Times New Roman"/>
          <w:sz w:val="24"/>
          <w:szCs w:val="24"/>
        </w:rPr>
        <w:t>. On November 12, 2010, two organizations were ONC Authorized Testing and Certification Bodies (</w:t>
      </w:r>
      <w:r w:rsidR="00355443">
        <w:rPr>
          <w:rFonts w:ascii="Times New Roman" w:hAnsi="Times New Roman" w:cs="Times New Roman"/>
          <w:sz w:val="24"/>
          <w:szCs w:val="24"/>
        </w:rPr>
        <w:t>ATCB</w:t>
      </w:r>
      <w:r w:rsidR="00BF48E2" w:rsidRPr="00896265">
        <w:rPr>
          <w:rFonts w:ascii="Times New Roman" w:hAnsi="Times New Roman" w:cs="Times New Roman"/>
          <w:sz w:val="24"/>
          <w:szCs w:val="24"/>
        </w:rPr>
        <w:t>). By January 2011</w:t>
      </w:r>
      <w:r w:rsidR="00574EDB">
        <w:rPr>
          <w:rFonts w:ascii="Times New Roman" w:hAnsi="Times New Roman" w:cs="Times New Roman"/>
          <w:sz w:val="24"/>
          <w:szCs w:val="24"/>
        </w:rPr>
        <w:t>,</w:t>
      </w:r>
      <w:r w:rsidR="00BF48E2" w:rsidRPr="00896265">
        <w:rPr>
          <w:rFonts w:ascii="Times New Roman" w:hAnsi="Times New Roman" w:cs="Times New Roman"/>
          <w:sz w:val="24"/>
          <w:szCs w:val="24"/>
        </w:rPr>
        <w:t xml:space="preserve"> the list had expanded to six ATCBs. The ONC produces a Certified Health IT Product List (CHPL) that provides the current list of tested and certified </w:t>
      </w:r>
      <w:r w:rsidR="00574EDB">
        <w:rPr>
          <w:rFonts w:ascii="Times New Roman" w:hAnsi="Times New Roman" w:cs="Times New Roman"/>
          <w:sz w:val="24"/>
          <w:szCs w:val="24"/>
        </w:rPr>
        <w:t xml:space="preserve">Complete </w:t>
      </w:r>
      <w:r w:rsidR="00BF48E2" w:rsidRPr="00896265">
        <w:rPr>
          <w:rFonts w:ascii="Times New Roman" w:hAnsi="Times New Roman" w:cs="Times New Roman"/>
          <w:sz w:val="24"/>
          <w:szCs w:val="24"/>
        </w:rPr>
        <w:t>EHRs and EHR Modules under the ONC’s Temporary Certification Program</w:t>
      </w:r>
      <w:r w:rsidR="00BF48E2">
        <w:rPr>
          <w:rFonts w:ascii="Times New Roman" w:hAnsi="Times New Roman" w:cs="Times New Roman"/>
          <w:sz w:val="24"/>
          <w:szCs w:val="24"/>
        </w:rPr>
        <w:t>, as well as a list of certification criteria. This list is updated on a continual basis</w:t>
      </w:r>
      <w:r w:rsidR="00BF48E2" w:rsidRPr="00896265">
        <w:rPr>
          <w:rFonts w:ascii="Times New Roman" w:hAnsi="Times New Roman" w:cs="Times New Roman"/>
          <w:sz w:val="24"/>
          <w:szCs w:val="24"/>
        </w:rPr>
        <w:t xml:space="preserve">. As of November 12, 2010 the </w:t>
      </w:r>
      <w:r w:rsidR="00BF48E2">
        <w:rPr>
          <w:rFonts w:ascii="Times New Roman" w:hAnsi="Times New Roman" w:cs="Times New Roman"/>
          <w:sz w:val="24"/>
          <w:szCs w:val="24"/>
        </w:rPr>
        <w:t xml:space="preserve">certification </w:t>
      </w:r>
      <w:r w:rsidR="00BF48E2" w:rsidRPr="00896265">
        <w:rPr>
          <w:rFonts w:ascii="Times New Roman" w:hAnsi="Times New Roman" w:cs="Times New Roman"/>
          <w:sz w:val="24"/>
          <w:szCs w:val="24"/>
        </w:rPr>
        <w:t xml:space="preserve">criteria description </w:t>
      </w:r>
      <w:r w:rsidR="00BF48E2">
        <w:rPr>
          <w:rFonts w:ascii="Times New Roman" w:hAnsi="Times New Roman" w:cs="Times New Roman"/>
          <w:sz w:val="24"/>
          <w:szCs w:val="24"/>
        </w:rPr>
        <w:t xml:space="preserve">provided by the National Institute of Standards and Technology (NIST) </w:t>
      </w:r>
      <w:r w:rsidR="00BF48E2" w:rsidRPr="00896265">
        <w:rPr>
          <w:rFonts w:ascii="Times New Roman" w:hAnsi="Times New Roman" w:cs="Times New Roman"/>
          <w:sz w:val="24"/>
          <w:szCs w:val="24"/>
        </w:rPr>
        <w:t xml:space="preserve">for </w:t>
      </w:r>
      <w:r w:rsidR="00BF48E2">
        <w:rPr>
          <w:rFonts w:ascii="Times New Roman" w:hAnsi="Times New Roman" w:cs="Times New Roman"/>
          <w:sz w:val="24"/>
          <w:szCs w:val="24"/>
        </w:rPr>
        <w:t>170.302(m): Patient-</w:t>
      </w:r>
      <w:r w:rsidR="00BF48E2" w:rsidRPr="00896265">
        <w:rPr>
          <w:rFonts w:ascii="Times New Roman" w:hAnsi="Times New Roman" w:cs="Times New Roman"/>
          <w:sz w:val="24"/>
          <w:szCs w:val="24"/>
        </w:rPr>
        <w:t>specific education resources</w:t>
      </w:r>
      <w:r w:rsidR="00B11ACD">
        <w:rPr>
          <w:rFonts w:ascii="Times New Roman" w:hAnsi="Times New Roman" w:cs="Times New Roman"/>
          <w:sz w:val="24"/>
          <w:szCs w:val="24"/>
        </w:rPr>
        <w:t>,</w:t>
      </w:r>
      <w:r w:rsidR="00BF48E2" w:rsidRPr="00896265">
        <w:rPr>
          <w:rFonts w:ascii="Times New Roman" w:hAnsi="Times New Roman" w:cs="Times New Roman"/>
          <w:sz w:val="24"/>
          <w:szCs w:val="24"/>
        </w:rPr>
        <w:t xml:space="preserve"> read </w:t>
      </w:r>
      <w:r w:rsidR="00BF48E2">
        <w:rPr>
          <w:rFonts w:ascii="Times New Roman" w:hAnsi="Times New Roman" w:cs="Times New Roman"/>
          <w:sz w:val="24"/>
          <w:szCs w:val="24"/>
        </w:rPr>
        <w:t xml:space="preserve">that an EHR should </w:t>
      </w:r>
      <w:r w:rsidR="00BF48E2" w:rsidRPr="00896265">
        <w:rPr>
          <w:rFonts w:ascii="Times New Roman" w:hAnsi="Times New Roman" w:cs="Times New Roman"/>
          <w:sz w:val="24"/>
          <w:szCs w:val="24"/>
        </w:rPr>
        <w:t>“enable a user to electronically identify and provide patient-specific education resources according to, at a minimum, the data elements included in the patient’s: problem list; medication list; and laboratory test results as well as provide such resources to t</w:t>
      </w:r>
      <w:r w:rsidR="00BF48E2">
        <w:rPr>
          <w:rFonts w:ascii="Times New Roman" w:hAnsi="Times New Roman" w:cs="Times New Roman"/>
          <w:sz w:val="24"/>
          <w:szCs w:val="24"/>
        </w:rPr>
        <w:t>he patient</w:t>
      </w:r>
      <w:r w:rsidR="00BF48E2" w:rsidRPr="00896265">
        <w:rPr>
          <w:rFonts w:ascii="Times New Roman" w:hAnsi="Times New Roman" w:cs="Times New Roman"/>
          <w:sz w:val="24"/>
          <w:szCs w:val="24"/>
        </w:rPr>
        <w:t xml:space="preserve">” </w:t>
      </w:r>
      <w:r w:rsidR="00BF48E2" w:rsidRPr="00400AB7">
        <w:rPr>
          <w:rFonts w:ascii="Times New Roman" w:hAnsi="Times New Roman" w:cs="Times New Roman"/>
          <w:sz w:val="24"/>
          <w:szCs w:val="24"/>
        </w:rPr>
        <w:t>[4]</w:t>
      </w:r>
      <w:r w:rsidR="00BF48E2" w:rsidRPr="00896265">
        <w:rPr>
          <w:rFonts w:ascii="Times New Roman" w:hAnsi="Times New Roman" w:cs="Times New Roman"/>
          <w:sz w:val="24"/>
          <w:szCs w:val="24"/>
        </w:rPr>
        <w:t xml:space="preserve">. </w:t>
      </w:r>
    </w:p>
    <w:p w14:paraId="6F7431EC" w14:textId="77777777" w:rsidR="00DA2437" w:rsidRDefault="00DA2437" w:rsidP="00F1758F">
      <w:pPr>
        <w:spacing w:line="360" w:lineRule="auto"/>
        <w:contextualSpacing/>
        <w:rPr>
          <w:rFonts w:ascii="Times New Roman" w:hAnsi="Times New Roman" w:cs="Times New Roman"/>
          <w:sz w:val="24"/>
          <w:szCs w:val="24"/>
        </w:rPr>
      </w:pPr>
    </w:p>
    <w:p w14:paraId="6F7431ED" w14:textId="5A74BDE5" w:rsidR="00FD48B1" w:rsidRDefault="00FD48B1" w:rsidP="00F1758F">
      <w:pPr>
        <w:spacing w:line="360" w:lineRule="auto"/>
        <w:contextualSpacing/>
        <w:rPr>
          <w:rFonts w:ascii="Times New Roman" w:hAnsi="Times New Roman" w:cs="Times New Roman"/>
          <w:sz w:val="24"/>
          <w:szCs w:val="24"/>
        </w:rPr>
      </w:pPr>
      <w:r w:rsidRPr="006178A3">
        <w:rPr>
          <w:rFonts w:ascii="Times New Roman" w:hAnsi="Times New Roman" w:cs="Times New Roman"/>
          <w:sz w:val="24"/>
          <w:szCs w:val="24"/>
        </w:rPr>
        <w:t xml:space="preserve">The NLM’s MedlinePlus Connect </w:t>
      </w:r>
      <w:r w:rsidR="00BF48E2">
        <w:rPr>
          <w:rFonts w:ascii="Times New Roman" w:hAnsi="Times New Roman" w:cs="Times New Roman"/>
          <w:sz w:val="24"/>
          <w:szCs w:val="24"/>
        </w:rPr>
        <w:t xml:space="preserve">service </w:t>
      </w:r>
      <w:r w:rsidRPr="006178A3">
        <w:rPr>
          <w:rFonts w:ascii="Times New Roman" w:hAnsi="Times New Roman" w:cs="Times New Roman"/>
          <w:sz w:val="24"/>
          <w:szCs w:val="24"/>
        </w:rPr>
        <w:t>can p</w:t>
      </w:r>
      <w:r w:rsidR="00BF48E2">
        <w:rPr>
          <w:rFonts w:ascii="Times New Roman" w:hAnsi="Times New Roman" w:cs="Times New Roman"/>
          <w:sz w:val="24"/>
          <w:szCs w:val="24"/>
        </w:rPr>
        <w:t xml:space="preserve">otentially help </w:t>
      </w:r>
      <w:r w:rsidRPr="006178A3">
        <w:rPr>
          <w:rFonts w:ascii="Times New Roman" w:hAnsi="Times New Roman" w:cs="Times New Roman"/>
          <w:sz w:val="24"/>
          <w:szCs w:val="24"/>
        </w:rPr>
        <w:t>EHR</w:t>
      </w:r>
      <w:r w:rsidR="00BF48E2">
        <w:rPr>
          <w:rFonts w:ascii="Times New Roman" w:hAnsi="Times New Roman" w:cs="Times New Roman"/>
          <w:sz w:val="24"/>
          <w:szCs w:val="24"/>
        </w:rPr>
        <w:t xml:space="preserve"> user</w:t>
      </w:r>
      <w:r w:rsidRPr="006178A3">
        <w:rPr>
          <w:rFonts w:ascii="Times New Roman" w:hAnsi="Times New Roman" w:cs="Times New Roman"/>
          <w:sz w:val="24"/>
          <w:szCs w:val="24"/>
        </w:rPr>
        <w:t xml:space="preserve">s fulfill this </w:t>
      </w:r>
      <w:r w:rsidR="000C7BC0">
        <w:rPr>
          <w:rFonts w:ascii="Times New Roman" w:hAnsi="Times New Roman" w:cs="Times New Roman"/>
          <w:sz w:val="24"/>
          <w:szCs w:val="24"/>
        </w:rPr>
        <w:t xml:space="preserve">need </w:t>
      </w:r>
      <w:r w:rsidR="00BF48E2">
        <w:rPr>
          <w:rFonts w:ascii="Times New Roman" w:hAnsi="Times New Roman" w:cs="Times New Roman"/>
          <w:sz w:val="24"/>
          <w:szCs w:val="24"/>
        </w:rPr>
        <w:t>and</w:t>
      </w:r>
      <w:r w:rsidRPr="00896265">
        <w:rPr>
          <w:rFonts w:ascii="Times New Roman" w:hAnsi="Times New Roman" w:cs="Times New Roman"/>
          <w:sz w:val="24"/>
          <w:szCs w:val="24"/>
        </w:rPr>
        <w:t xml:space="preserve"> achieve the optional Meaningful Use criterion </w:t>
      </w:r>
      <w:r w:rsidR="004B6BAD">
        <w:rPr>
          <w:rFonts w:ascii="Times New Roman" w:hAnsi="Times New Roman" w:cs="Times New Roman"/>
          <w:sz w:val="24"/>
          <w:szCs w:val="24"/>
        </w:rPr>
        <w:t xml:space="preserve">stated in 170.302(m) </w:t>
      </w:r>
      <w:r w:rsidRPr="00896265">
        <w:rPr>
          <w:rFonts w:ascii="Times New Roman" w:hAnsi="Times New Roman" w:cs="Times New Roman"/>
          <w:sz w:val="24"/>
          <w:szCs w:val="24"/>
        </w:rPr>
        <w:t xml:space="preserve">to provide patient-specific education resources from inside the EHR system. </w:t>
      </w:r>
      <w:r>
        <w:rPr>
          <w:rFonts w:ascii="Times New Roman" w:hAnsi="Times New Roman" w:cs="Times New Roman"/>
          <w:sz w:val="24"/>
          <w:szCs w:val="24"/>
        </w:rPr>
        <w:t>MedlinePlus Connect currently does not provide information on lab tests, a requirement of the patient-specific education r</w:t>
      </w:r>
      <w:r w:rsidR="00482457">
        <w:rPr>
          <w:rFonts w:ascii="Times New Roman" w:hAnsi="Times New Roman" w:cs="Times New Roman"/>
          <w:sz w:val="24"/>
          <w:szCs w:val="24"/>
        </w:rPr>
        <w:t>esource certification criteria.</w:t>
      </w:r>
    </w:p>
    <w:p w14:paraId="6F7431EE" w14:textId="77777777" w:rsidR="00DA2437" w:rsidRPr="00DA2437" w:rsidRDefault="00DA2437" w:rsidP="00F1758F">
      <w:pPr>
        <w:spacing w:before="100" w:beforeAutospacing="1" w:after="100" w:afterAutospacing="1" w:line="360" w:lineRule="auto"/>
        <w:contextualSpacing/>
        <w:rPr>
          <w:rFonts w:ascii="Times New Roman" w:hAnsi="Times New Roman" w:cs="Times New Roman"/>
          <w:b/>
          <w:sz w:val="28"/>
          <w:szCs w:val="28"/>
        </w:rPr>
      </w:pPr>
    </w:p>
    <w:p w14:paraId="6F7431EF" w14:textId="77777777" w:rsidR="00A96886" w:rsidRDefault="00355443" w:rsidP="00F1758F">
      <w:pPr>
        <w:spacing w:before="100" w:beforeAutospacing="1" w:after="100" w:afterAutospacing="1" w:line="360" w:lineRule="auto"/>
        <w:contextualSpacing/>
        <w:rPr>
          <w:rFonts w:ascii="Times New Roman" w:hAnsi="Times New Roman" w:cs="Times New Roman"/>
          <w:sz w:val="24"/>
          <w:szCs w:val="24"/>
        </w:rPr>
      </w:pPr>
      <w:r w:rsidRPr="00896265">
        <w:rPr>
          <w:rFonts w:ascii="Times New Roman" w:hAnsi="Times New Roman" w:cs="Times New Roman"/>
          <w:sz w:val="24"/>
          <w:szCs w:val="24"/>
        </w:rPr>
        <w:t xml:space="preserve">The purpose of this NLM Associate Fall 2010 Project is to help the developers of MedlinePlus Connect understand the depth and breadth of other similar services that provide or link to patient education information from an EHR. To accomplish this task, </w:t>
      </w:r>
      <w:r w:rsidR="00E66D14">
        <w:rPr>
          <w:rFonts w:ascii="Times New Roman" w:hAnsi="Times New Roman" w:cs="Times New Roman"/>
          <w:sz w:val="24"/>
          <w:szCs w:val="24"/>
        </w:rPr>
        <w:t xml:space="preserve">the Associate Fellow conducted </w:t>
      </w:r>
      <w:r w:rsidRPr="00896265">
        <w:rPr>
          <w:rFonts w:ascii="Times New Roman" w:hAnsi="Times New Roman" w:cs="Times New Roman"/>
          <w:sz w:val="24"/>
          <w:szCs w:val="24"/>
        </w:rPr>
        <w:t xml:space="preserve">an environmental scan of all products </w:t>
      </w:r>
      <w:r w:rsidR="00574EDB">
        <w:rPr>
          <w:rFonts w:ascii="Times New Roman" w:hAnsi="Times New Roman" w:cs="Times New Roman"/>
          <w:sz w:val="24"/>
          <w:szCs w:val="24"/>
        </w:rPr>
        <w:t>that met</w:t>
      </w:r>
      <w:r w:rsidR="00574EDB" w:rsidRPr="00896265">
        <w:rPr>
          <w:rFonts w:ascii="Times New Roman" w:hAnsi="Times New Roman" w:cs="Times New Roman"/>
          <w:sz w:val="24"/>
          <w:szCs w:val="24"/>
        </w:rPr>
        <w:t xml:space="preserve"> </w:t>
      </w:r>
      <w:r w:rsidRPr="00896265">
        <w:rPr>
          <w:rFonts w:ascii="Times New Roman" w:hAnsi="Times New Roman" w:cs="Times New Roman"/>
          <w:sz w:val="24"/>
          <w:szCs w:val="24"/>
        </w:rPr>
        <w:t xml:space="preserve">the 170.302(m) </w:t>
      </w:r>
      <w:r w:rsidR="00D369E0">
        <w:rPr>
          <w:rFonts w:ascii="Times New Roman" w:hAnsi="Times New Roman" w:cs="Times New Roman"/>
          <w:sz w:val="24"/>
          <w:szCs w:val="24"/>
        </w:rPr>
        <w:t>p</w:t>
      </w:r>
      <w:r>
        <w:rPr>
          <w:rFonts w:ascii="Times New Roman" w:hAnsi="Times New Roman" w:cs="Times New Roman"/>
          <w:sz w:val="24"/>
          <w:szCs w:val="24"/>
        </w:rPr>
        <w:t xml:space="preserve">rovision of </w:t>
      </w:r>
      <w:r w:rsidRPr="00896265">
        <w:rPr>
          <w:rFonts w:ascii="Times New Roman" w:hAnsi="Times New Roman" w:cs="Times New Roman"/>
          <w:sz w:val="24"/>
          <w:szCs w:val="24"/>
        </w:rPr>
        <w:t xml:space="preserve">Patient-specific education resources </w:t>
      </w:r>
      <w:r>
        <w:rPr>
          <w:rFonts w:ascii="Times New Roman" w:hAnsi="Times New Roman" w:cs="Times New Roman"/>
          <w:sz w:val="24"/>
          <w:szCs w:val="24"/>
        </w:rPr>
        <w:t xml:space="preserve">criteria </w:t>
      </w:r>
      <w:r w:rsidRPr="00896265">
        <w:rPr>
          <w:rFonts w:ascii="Times New Roman" w:hAnsi="Times New Roman" w:cs="Times New Roman"/>
          <w:sz w:val="24"/>
          <w:szCs w:val="24"/>
        </w:rPr>
        <w:t>on the ONC Certified Health I</w:t>
      </w:r>
      <w:r w:rsidR="00E66D14">
        <w:rPr>
          <w:rFonts w:ascii="Times New Roman" w:hAnsi="Times New Roman" w:cs="Times New Roman"/>
          <w:sz w:val="24"/>
          <w:szCs w:val="24"/>
        </w:rPr>
        <w:t>T Product Certification list</w:t>
      </w:r>
      <w:r w:rsidRPr="00896265">
        <w:rPr>
          <w:rFonts w:ascii="Times New Roman" w:hAnsi="Times New Roman" w:cs="Times New Roman"/>
          <w:sz w:val="24"/>
          <w:szCs w:val="24"/>
        </w:rPr>
        <w:t xml:space="preserve">. </w:t>
      </w:r>
      <w:r w:rsidR="00845E6E" w:rsidRPr="00845E6E">
        <w:rPr>
          <w:rFonts w:ascii="Times New Roman" w:hAnsi="Times New Roman" w:cs="Times New Roman"/>
          <w:i/>
          <w:sz w:val="24"/>
          <w:szCs w:val="24"/>
        </w:rPr>
        <w:t xml:space="preserve">Appendix A: Original Project Proposal </w:t>
      </w:r>
      <w:r w:rsidR="00845E6E" w:rsidRPr="00845E6E">
        <w:rPr>
          <w:rFonts w:ascii="Times New Roman" w:hAnsi="Times New Roman" w:cs="Times New Roman"/>
          <w:sz w:val="24"/>
          <w:szCs w:val="24"/>
        </w:rPr>
        <w:t>outlines</w:t>
      </w:r>
      <w:r w:rsidR="00845E6E">
        <w:rPr>
          <w:rFonts w:ascii="Times New Roman" w:hAnsi="Times New Roman" w:cs="Times New Roman"/>
          <w:sz w:val="24"/>
          <w:szCs w:val="24"/>
        </w:rPr>
        <w:t xml:space="preserve"> the initial purpose and framework of the project.</w:t>
      </w:r>
      <w:r w:rsidR="00845E6E" w:rsidRPr="00845E6E">
        <w:rPr>
          <w:rFonts w:ascii="Times New Roman" w:hAnsi="Times New Roman" w:cs="Times New Roman"/>
          <w:sz w:val="24"/>
          <w:szCs w:val="24"/>
        </w:rPr>
        <w:t xml:space="preserve"> </w:t>
      </w:r>
      <w:r w:rsidRPr="00896265">
        <w:rPr>
          <w:rFonts w:ascii="Times New Roman" w:hAnsi="Times New Roman" w:cs="Times New Roman"/>
          <w:sz w:val="24"/>
          <w:szCs w:val="24"/>
        </w:rPr>
        <w:t xml:space="preserve">This paper </w:t>
      </w:r>
      <w:r>
        <w:rPr>
          <w:rFonts w:ascii="Times New Roman" w:hAnsi="Times New Roman" w:cs="Times New Roman"/>
          <w:sz w:val="24"/>
          <w:szCs w:val="24"/>
        </w:rPr>
        <w:t>provides an outline of</w:t>
      </w:r>
      <w:r w:rsidRPr="00896265">
        <w:rPr>
          <w:rFonts w:ascii="Times New Roman" w:hAnsi="Times New Roman" w:cs="Times New Roman"/>
          <w:sz w:val="24"/>
          <w:szCs w:val="24"/>
        </w:rPr>
        <w:t xml:space="preserve"> the steps taken while conducting the environmental scan, the questions and fields developed for analysis, and a discussion of key findings or missing areas as well as future areas for potential research. </w:t>
      </w:r>
    </w:p>
    <w:p w14:paraId="6F7431F0" w14:textId="77777777" w:rsidR="00437C49" w:rsidRPr="002B7283" w:rsidRDefault="00A34628" w:rsidP="002B7283">
      <w:pPr>
        <w:pStyle w:val="Heading1"/>
        <w:rPr>
          <w:color w:val="auto"/>
        </w:rPr>
      </w:pPr>
      <w:bookmarkStart w:id="2" w:name="_Toc284948708"/>
      <w:r w:rsidRPr="002B7283">
        <w:rPr>
          <w:color w:val="auto"/>
        </w:rPr>
        <w:t>Methodology</w:t>
      </w:r>
      <w:bookmarkEnd w:id="2"/>
    </w:p>
    <w:p w14:paraId="6F7431F1" w14:textId="77777777" w:rsidR="00687240" w:rsidRPr="00896265" w:rsidRDefault="00E970DF" w:rsidP="007851B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3" w:name="_Toc282451063"/>
      <w:bookmarkStart w:id="4" w:name="_Toc282583173"/>
      <w:bookmarkStart w:id="5" w:name="_Toc282615595"/>
      <w:bookmarkStart w:id="6" w:name="_Toc284948709"/>
      <w:r w:rsidRPr="00896265">
        <w:rPr>
          <w:rFonts w:ascii="Times New Roman" w:eastAsia="Times New Roman" w:hAnsi="Times New Roman" w:cs="Times New Roman"/>
          <w:bCs/>
          <w:color w:val="000000"/>
          <w:sz w:val="24"/>
          <w:szCs w:val="24"/>
        </w:rPr>
        <w:t>This section outlines the process used to conduct the environmental scan as well a</w:t>
      </w:r>
      <w:r w:rsidR="009B20D3" w:rsidRPr="00896265">
        <w:rPr>
          <w:rFonts w:ascii="Times New Roman" w:eastAsia="Times New Roman" w:hAnsi="Times New Roman" w:cs="Times New Roman"/>
          <w:bCs/>
          <w:color w:val="000000"/>
          <w:sz w:val="24"/>
          <w:szCs w:val="24"/>
        </w:rPr>
        <w:t xml:space="preserve">s the process used to determine the fields used in the spreadsheet of </w:t>
      </w:r>
      <w:r w:rsidR="0023703C">
        <w:rPr>
          <w:rFonts w:ascii="Times New Roman" w:eastAsia="Times New Roman" w:hAnsi="Times New Roman" w:cs="Times New Roman"/>
          <w:bCs/>
          <w:color w:val="000000"/>
          <w:sz w:val="24"/>
          <w:szCs w:val="24"/>
        </w:rPr>
        <w:t>EHR</w:t>
      </w:r>
      <w:r w:rsidR="009B20D3" w:rsidRPr="00896265">
        <w:rPr>
          <w:rFonts w:ascii="Times New Roman" w:eastAsia="Times New Roman" w:hAnsi="Times New Roman" w:cs="Times New Roman"/>
          <w:bCs/>
          <w:color w:val="000000"/>
          <w:sz w:val="24"/>
          <w:szCs w:val="24"/>
        </w:rPr>
        <w:t xml:space="preserve"> information and patient-specific education resources.</w:t>
      </w:r>
      <w:bookmarkEnd w:id="3"/>
      <w:bookmarkEnd w:id="4"/>
      <w:bookmarkEnd w:id="5"/>
      <w:r w:rsidR="009B20D3" w:rsidRPr="00896265">
        <w:rPr>
          <w:rFonts w:ascii="Times New Roman" w:eastAsia="Times New Roman" w:hAnsi="Times New Roman" w:cs="Times New Roman"/>
          <w:bCs/>
          <w:color w:val="000000"/>
          <w:sz w:val="24"/>
          <w:szCs w:val="24"/>
        </w:rPr>
        <w:t xml:space="preserve"> </w:t>
      </w:r>
      <w:r w:rsidRPr="00896265">
        <w:rPr>
          <w:rFonts w:ascii="Times New Roman" w:eastAsia="Times New Roman" w:hAnsi="Times New Roman" w:cs="Times New Roman"/>
          <w:bCs/>
          <w:color w:val="000000"/>
          <w:sz w:val="24"/>
          <w:szCs w:val="24"/>
        </w:rPr>
        <w:t xml:space="preserve"> </w:t>
      </w:r>
      <w:r w:rsidR="00845E6E" w:rsidRPr="00845E6E">
        <w:rPr>
          <w:rFonts w:ascii="Times New Roman" w:eastAsia="Times New Roman" w:hAnsi="Times New Roman" w:cs="Times New Roman"/>
          <w:bCs/>
          <w:i/>
          <w:color w:val="000000"/>
          <w:sz w:val="24"/>
          <w:szCs w:val="24"/>
        </w:rPr>
        <w:t>Appendix B: Project Meeting Timeline</w:t>
      </w:r>
      <w:r w:rsidR="00845E6E">
        <w:rPr>
          <w:rFonts w:ascii="Times New Roman" w:eastAsia="Times New Roman" w:hAnsi="Times New Roman" w:cs="Times New Roman"/>
          <w:bCs/>
          <w:color w:val="000000"/>
          <w:sz w:val="24"/>
          <w:szCs w:val="24"/>
        </w:rPr>
        <w:t xml:space="preserve"> provides an outline of meetings held between the Associate Fe</w:t>
      </w:r>
      <w:bookmarkStart w:id="7" w:name="_GoBack"/>
      <w:bookmarkEnd w:id="7"/>
      <w:r w:rsidR="00845E6E">
        <w:rPr>
          <w:rFonts w:ascii="Times New Roman" w:eastAsia="Times New Roman" w:hAnsi="Times New Roman" w:cs="Times New Roman"/>
          <w:bCs/>
          <w:color w:val="000000"/>
          <w:sz w:val="24"/>
          <w:szCs w:val="24"/>
        </w:rPr>
        <w:t>llow and the project team leaders.</w:t>
      </w:r>
      <w:bookmarkEnd w:id="6"/>
      <w:r w:rsidR="00845E6E">
        <w:rPr>
          <w:rFonts w:ascii="Times New Roman" w:eastAsia="Times New Roman" w:hAnsi="Times New Roman" w:cs="Times New Roman"/>
          <w:bCs/>
          <w:color w:val="000000"/>
          <w:sz w:val="24"/>
          <w:szCs w:val="24"/>
        </w:rPr>
        <w:t xml:space="preserve"> </w:t>
      </w:r>
    </w:p>
    <w:p w14:paraId="6F7431F2" w14:textId="77777777" w:rsidR="00DA2437" w:rsidRDefault="00DA2437"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8" w:name="_Toc282583174"/>
      <w:bookmarkStart w:id="9" w:name="_Toc282615596"/>
      <w:bookmarkStart w:id="10" w:name="_Toc282451064"/>
    </w:p>
    <w:p w14:paraId="6F7431F3" w14:textId="41D02505" w:rsidR="00EB2924" w:rsidRDefault="00981D5D"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11" w:name="_Toc284948710"/>
      <w:r>
        <w:rPr>
          <w:rFonts w:ascii="Times New Roman" w:eastAsia="Times New Roman" w:hAnsi="Times New Roman" w:cs="Times New Roman"/>
          <w:bCs/>
          <w:color w:val="000000"/>
          <w:sz w:val="24"/>
          <w:szCs w:val="24"/>
        </w:rPr>
        <w:t xml:space="preserve">To begin, </w:t>
      </w:r>
      <w:r w:rsidR="00883092">
        <w:rPr>
          <w:rFonts w:ascii="Times New Roman" w:eastAsia="Times New Roman" w:hAnsi="Times New Roman" w:cs="Times New Roman"/>
          <w:bCs/>
          <w:color w:val="000000"/>
          <w:sz w:val="24"/>
          <w:szCs w:val="24"/>
        </w:rPr>
        <w:t xml:space="preserve">the Associate determined </w:t>
      </w:r>
      <w:r>
        <w:rPr>
          <w:rFonts w:ascii="Times New Roman" w:eastAsia="Times New Roman" w:hAnsi="Times New Roman" w:cs="Times New Roman"/>
          <w:bCs/>
          <w:color w:val="000000"/>
          <w:sz w:val="24"/>
          <w:szCs w:val="24"/>
        </w:rPr>
        <w:t>a defined list of certified projects for 170.302(m)</w:t>
      </w:r>
      <w:r w:rsidR="00883092">
        <w:rPr>
          <w:rFonts w:ascii="Times New Roman" w:eastAsia="Times New Roman" w:hAnsi="Times New Roman" w:cs="Times New Roman"/>
          <w:bCs/>
          <w:color w:val="000000"/>
          <w:sz w:val="24"/>
          <w:szCs w:val="24"/>
        </w:rPr>
        <w:t xml:space="preserve"> using the ONC CHPL</w:t>
      </w:r>
      <w:r>
        <w:rPr>
          <w:rFonts w:ascii="Times New Roman" w:eastAsia="Times New Roman" w:hAnsi="Times New Roman" w:cs="Times New Roman"/>
          <w:bCs/>
          <w:color w:val="000000"/>
          <w:sz w:val="24"/>
          <w:szCs w:val="24"/>
        </w:rPr>
        <w:t xml:space="preserve">. </w:t>
      </w:r>
      <w:r w:rsidR="00883092">
        <w:rPr>
          <w:rFonts w:ascii="Times New Roman" w:eastAsia="Times New Roman" w:hAnsi="Times New Roman" w:cs="Times New Roman"/>
          <w:bCs/>
          <w:color w:val="000000"/>
          <w:sz w:val="24"/>
          <w:szCs w:val="24"/>
        </w:rPr>
        <w:t>The Associate copied t</w:t>
      </w:r>
      <w:r w:rsidR="00EB2924">
        <w:rPr>
          <w:rFonts w:ascii="Times New Roman" w:eastAsia="Times New Roman" w:hAnsi="Times New Roman" w:cs="Times New Roman"/>
          <w:bCs/>
          <w:color w:val="000000"/>
          <w:sz w:val="24"/>
          <w:szCs w:val="24"/>
        </w:rPr>
        <w:t xml:space="preserve">he entire ONC CHPL from November 12, 2010 from the </w:t>
      </w:r>
      <w:r w:rsidR="004B6BAD">
        <w:rPr>
          <w:rFonts w:ascii="Times New Roman" w:eastAsia="Times New Roman" w:hAnsi="Times New Roman" w:cs="Times New Roman"/>
          <w:bCs/>
          <w:color w:val="000000"/>
          <w:sz w:val="24"/>
          <w:szCs w:val="24"/>
        </w:rPr>
        <w:t xml:space="preserve">ONC </w:t>
      </w:r>
      <w:r w:rsidR="00EB2924">
        <w:rPr>
          <w:rFonts w:ascii="Times New Roman" w:eastAsia="Times New Roman" w:hAnsi="Times New Roman" w:cs="Times New Roman"/>
          <w:bCs/>
          <w:color w:val="000000"/>
          <w:sz w:val="24"/>
          <w:szCs w:val="24"/>
        </w:rPr>
        <w:t xml:space="preserve">website to an </w:t>
      </w:r>
      <w:r w:rsidR="00452BEA">
        <w:rPr>
          <w:rFonts w:ascii="Times New Roman" w:eastAsia="Times New Roman" w:hAnsi="Times New Roman" w:cs="Times New Roman"/>
          <w:bCs/>
          <w:color w:val="000000"/>
          <w:sz w:val="24"/>
          <w:szCs w:val="24"/>
        </w:rPr>
        <w:t>E</w:t>
      </w:r>
      <w:r w:rsidR="00EB2924">
        <w:rPr>
          <w:rFonts w:ascii="Times New Roman" w:eastAsia="Times New Roman" w:hAnsi="Times New Roman" w:cs="Times New Roman"/>
          <w:bCs/>
          <w:color w:val="000000"/>
          <w:sz w:val="24"/>
          <w:szCs w:val="24"/>
        </w:rPr>
        <w:t xml:space="preserve">xcel spreadsheet. </w:t>
      </w:r>
      <w:r w:rsidR="00883092">
        <w:rPr>
          <w:rFonts w:ascii="Times New Roman" w:eastAsia="Times New Roman" w:hAnsi="Times New Roman" w:cs="Times New Roman"/>
          <w:bCs/>
          <w:color w:val="000000"/>
          <w:sz w:val="24"/>
          <w:szCs w:val="24"/>
        </w:rPr>
        <w:t>The spreadsheet included a</w:t>
      </w:r>
      <w:r w:rsidR="00EB2924">
        <w:rPr>
          <w:rFonts w:ascii="Times New Roman" w:eastAsia="Times New Roman" w:hAnsi="Times New Roman" w:cs="Times New Roman"/>
          <w:bCs/>
          <w:color w:val="000000"/>
          <w:sz w:val="24"/>
          <w:szCs w:val="24"/>
        </w:rPr>
        <w:t xml:space="preserve">ll fields from the online ONC CHPL and </w:t>
      </w:r>
      <w:r w:rsidR="00CD7412">
        <w:rPr>
          <w:rFonts w:ascii="Times New Roman" w:eastAsia="Times New Roman" w:hAnsi="Times New Roman" w:cs="Times New Roman"/>
          <w:bCs/>
          <w:color w:val="000000"/>
          <w:sz w:val="24"/>
          <w:szCs w:val="24"/>
        </w:rPr>
        <w:t xml:space="preserve">the Associate </w:t>
      </w:r>
      <w:r w:rsidR="00883092">
        <w:rPr>
          <w:rFonts w:ascii="Times New Roman" w:eastAsia="Times New Roman" w:hAnsi="Times New Roman" w:cs="Times New Roman"/>
          <w:bCs/>
          <w:color w:val="000000"/>
          <w:sz w:val="24"/>
          <w:szCs w:val="24"/>
        </w:rPr>
        <w:t xml:space="preserve">added </w:t>
      </w:r>
      <w:r w:rsidR="00EB2924">
        <w:rPr>
          <w:rFonts w:ascii="Times New Roman" w:eastAsia="Times New Roman" w:hAnsi="Times New Roman" w:cs="Times New Roman"/>
          <w:bCs/>
          <w:color w:val="000000"/>
          <w:sz w:val="24"/>
          <w:szCs w:val="24"/>
        </w:rPr>
        <w:t xml:space="preserve">a field for whether products were certified for 170.302(m). </w:t>
      </w:r>
      <w:r w:rsidR="00CD7412">
        <w:rPr>
          <w:rFonts w:ascii="Times New Roman" w:eastAsia="Times New Roman" w:hAnsi="Times New Roman" w:cs="Times New Roman"/>
          <w:bCs/>
          <w:color w:val="000000"/>
          <w:sz w:val="24"/>
          <w:szCs w:val="24"/>
        </w:rPr>
        <w:t>The Associate accessed e</w:t>
      </w:r>
      <w:r w:rsidR="00EB2924">
        <w:rPr>
          <w:rFonts w:ascii="Times New Roman" w:eastAsia="Times New Roman" w:hAnsi="Times New Roman" w:cs="Times New Roman"/>
          <w:bCs/>
          <w:color w:val="000000"/>
          <w:sz w:val="24"/>
          <w:szCs w:val="24"/>
        </w:rPr>
        <w:t xml:space="preserve">ach ONC CHPL product record to determine if it was certified to provide patient education. </w:t>
      </w:r>
      <w:r w:rsidR="00883092">
        <w:rPr>
          <w:rFonts w:ascii="Times New Roman" w:eastAsia="Times New Roman" w:hAnsi="Times New Roman" w:cs="Times New Roman"/>
          <w:bCs/>
          <w:color w:val="000000"/>
          <w:sz w:val="24"/>
          <w:szCs w:val="24"/>
        </w:rPr>
        <w:t xml:space="preserve">The project team decided </w:t>
      </w:r>
      <w:r w:rsidR="009B20D3" w:rsidRPr="00896265">
        <w:rPr>
          <w:rFonts w:ascii="Times New Roman" w:eastAsia="Times New Roman" w:hAnsi="Times New Roman" w:cs="Times New Roman"/>
          <w:bCs/>
          <w:color w:val="000000"/>
          <w:sz w:val="24"/>
          <w:szCs w:val="24"/>
        </w:rPr>
        <w:t xml:space="preserve">to </w:t>
      </w:r>
      <w:r w:rsidR="003C6595">
        <w:rPr>
          <w:rFonts w:ascii="Times New Roman" w:eastAsia="Times New Roman" w:hAnsi="Times New Roman" w:cs="Times New Roman"/>
          <w:bCs/>
          <w:color w:val="000000"/>
          <w:sz w:val="24"/>
          <w:szCs w:val="24"/>
        </w:rPr>
        <w:t>use products</w:t>
      </w:r>
      <w:r w:rsidR="009B20D3" w:rsidRPr="00896265">
        <w:rPr>
          <w:rFonts w:ascii="Times New Roman" w:eastAsia="Times New Roman" w:hAnsi="Times New Roman" w:cs="Times New Roman"/>
          <w:bCs/>
          <w:color w:val="000000"/>
          <w:sz w:val="24"/>
          <w:szCs w:val="24"/>
        </w:rPr>
        <w:t xml:space="preserve"> </w:t>
      </w:r>
      <w:r w:rsidR="003C6595">
        <w:rPr>
          <w:rFonts w:ascii="Times New Roman" w:eastAsia="Times New Roman" w:hAnsi="Times New Roman" w:cs="Times New Roman"/>
          <w:bCs/>
          <w:color w:val="000000"/>
          <w:sz w:val="24"/>
          <w:szCs w:val="24"/>
        </w:rPr>
        <w:t xml:space="preserve">certified </w:t>
      </w:r>
      <w:r w:rsidR="009B20D3" w:rsidRPr="00896265">
        <w:rPr>
          <w:rFonts w:ascii="Times New Roman" w:eastAsia="Times New Roman" w:hAnsi="Times New Roman" w:cs="Times New Roman"/>
          <w:bCs/>
          <w:color w:val="000000"/>
          <w:sz w:val="24"/>
          <w:szCs w:val="24"/>
        </w:rPr>
        <w:t>as of November 12, 2010</w:t>
      </w:r>
      <w:r w:rsidR="00EB2924">
        <w:rPr>
          <w:rFonts w:ascii="Times New Roman" w:eastAsia="Times New Roman" w:hAnsi="Times New Roman" w:cs="Times New Roman"/>
          <w:bCs/>
          <w:color w:val="000000"/>
          <w:sz w:val="24"/>
          <w:szCs w:val="24"/>
        </w:rPr>
        <w:t>,</w:t>
      </w:r>
      <w:r w:rsidR="009B20D3" w:rsidRPr="00896265">
        <w:rPr>
          <w:rFonts w:ascii="Times New Roman" w:eastAsia="Times New Roman" w:hAnsi="Times New Roman" w:cs="Times New Roman"/>
          <w:bCs/>
          <w:color w:val="000000"/>
          <w:sz w:val="24"/>
          <w:szCs w:val="24"/>
        </w:rPr>
        <w:t xml:space="preserve"> regardless of future changes to the ONC </w:t>
      </w:r>
      <w:r>
        <w:rPr>
          <w:rFonts w:ascii="Times New Roman" w:eastAsia="Times New Roman" w:hAnsi="Times New Roman" w:cs="Times New Roman"/>
          <w:bCs/>
          <w:color w:val="000000"/>
          <w:sz w:val="24"/>
          <w:szCs w:val="24"/>
        </w:rPr>
        <w:t>CHPL</w:t>
      </w:r>
      <w:r w:rsidR="00EB2924">
        <w:rPr>
          <w:rFonts w:ascii="Times New Roman" w:eastAsia="Times New Roman" w:hAnsi="Times New Roman" w:cs="Times New Roman"/>
          <w:bCs/>
          <w:color w:val="000000"/>
          <w:sz w:val="24"/>
          <w:szCs w:val="24"/>
        </w:rPr>
        <w:t>,</w:t>
      </w:r>
      <w:r w:rsidR="00D80792">
        <w:rPr>
          <w:rFonts w:ascii="Times New Roman" w:eastAsia="Times New Roman" w:hAnsi="Times New Roman" w:cs="Times New Roman"/>
          <w:bCs/>
          <w:color w:val="000000"/>
          <w:sz w:val="24"/>
          <w:szCs w:val="24"/>
        </w:rPr>
        <w:t xml:space="preserve"> </w:t>
      </w:r>
      <w:r w:rsidR="00E75196">
        <w:rPr>
          <w:rFonts w:ascii="Times New Roman" w:eastAsia="Times New Roman" w:hAnsi="Times New Roman" w:cs="Times New Roman"/>
          <w:bCs/>
          <w:color w:val="000000"/>
          <w:sz w:val="24"/>
          <w:szCs w:val="24"/>
        </w:rPr>
        <w:t>b</w:t>
      </w:r>
      <w:r w:rsidR="00D80792" w:rsidRPr="00896265">
        <w:rPr>
          <w:rFonts w:ascii="Times New Roman" w:eastAsia="Times New Roman" w:hAnsi="Times New Roman" w:cs="Times New Roman"/>
          <w:bCs/>
          <w:color w:val="000000"/>
          <w:sz w:val="24"/>
          <w:szCs w:val="24"/>
        </w:rPr>
        <w:t xml:space="preserve">ecause of the rapidly changing nature of the </w:t>
      </w:r>
      <w:r w:rsidR="00D80792" w:rsidRPr="00896265">
        <w:rPr>
          <w:rFonts w:ascii="Times New Roman" w:eastAsia="Times New Roman" w:hAnsi="Times New Roman" w:cs="Times New Roman"/>
          <w:bCs/>
          <w:color w:val="000000"/>
          <w:sz w:val="24"/>
          <w:szCs w:val="24"/>
        </w:rPr>
        <w:lastRenderedPageBreak/>
        <w:t>provisional certification process</w:t>
      </w:r>
      <w:r w:rsidR="00D80792">
        <w:rPr>
          <w:rFonts w:ascii="Times New Roman" w:eastAsia="Times New Roman" w:hAnsi="Times New Roman" w:cs="Times New Roman"/>
          <w:bCs/>
          <w:color w:val="000000"/>
          <w:sz w:val="24"/>
          <w:szCs w:val="24"/>
        </w:rPr>
        <w:t xml:space="preserve"> and the relatively short timeline for </w:t>
      </w:r>
      <w:r>
        <w:rPr>
          <w:rFonts w:ascii="Times New Roman" w:eastAsia="Times New Roman" w:hAnsi="Times New Roman" w:cs="Times New Roman"/>
          <w:bCs/>
          <w:color w:val="000000"/>
          <w:sz w:val="24"/>
          <w:szCs w:val="24"/>
        </w:rPr>
        <w:t>the</w:t>
      </w:r>
      <w:r w:rsidR="00D80792">
        <w:rPr>
          <w:rFonts w:ascii="Times New Roman" w:eastAsia="Times New Roman" w:hAnsi="Times New Roman" w:cs="Times New Roman"/>
          <w:bCs/>
          <w:color w:val="000000"/>
          <w:sz w:val="24"/>
          <w:szCs w:val="24"/>
        </w:rPr>
        <w:t xml:space="preserve"> project.</w:t>
      </w:r>
      <w:bookmarkEnd w:id="8"/>
      <w:r w:rsidR="00D80792">
        <w:rPr>
          <w:rFonts w:ascii="Times New Roman" w:eastAsia="Times New Roman" w:hAnsi="Times New Roman" w:cs="Times New Roman"/>
          <w:bCs/>
          <w:color w:val="000000"/>
          <w:sz w:val="24"/>
          <w:szCs w:val="24"/>
        </w:rPr>
        <w:t xml:space="preserve"> </w:t>
      </w:r>
      <w:bookmarkStart w:id="12" w:name="_Toc282583175"/>
      <w:r w:rsidR="0023703C">
        <w:rPr>
          <w:rFonts w:ascii="Times New Roman" w:eastAsia="Times New Roman" w:hAnsi="Times New Roman" w:cs="Times New Roman"/>
          <w:bCs/>
          <w:color w:val="000000"/>
          <w:sz w:val="24"/>
          <w:szCs w:val="24"/>
        </w:rPr>
        <w:t xml:space="preserve">While </w:t>
      </w:r>
      <w:r w:rsidR="00D80792">
        <w:rPr>
          <w:rFonts w:ascii="Times New Roman" w:eastAsia="Times New Roman" w:hAnsi="Times New Roman" w:cs="Times New Roman"/>
          <w:bCs/>
          <w:color w:val="000000"/>
          <w:sz w:val="24"/>
          <w:szCs w:val="24"/>
        </w:rPr>
        <w:t xml:space="preserve">the process was initially </w:t>
      </w:r>
      <w:r w:rsidR="00B11ACD">
        <w:rPr>
          <w:rFonts w:ascii="Times New Roman" w:eastAsia="Times New Roman" w:hAnsi="Times New Roman" w:cs="Times New Roman"/>
          <w:bCs/>
          <w:color w:val="000000"/>
          <w:sz w:val="24"/>
          <w:szCs w:val="24"/>
        </w:rPr>
        <w:t xml:space="preserve">laborious </w:t>
      </w:r>
      <w:r w:rsidR="00D80792">
        <w:rPr>
          <w:rFonts w:ascii="Times New Roman" w:eastAsia="Times New Roman" w:hAnsi="Times New Roman" w:cs="Times New Roman"/>
          <w:bCs/>
          <w:color w:val="000000"/>
          <w:sz w:val="24"/>
          <w:szCs w:val="24"/>
        </w:rPr>
        <w:t xml:space="preserve">and required entering each product record to view the certification criteria met by </w:t>
      </w:r>
      <w:r w:rsidR="00574EDB">
        <w:rPr>
          <w:rFonts w:ascii="Times New Roman" w:eastAsia="Times New Roman" w:hAnsi="Times New Roman" w:cs="Times New Roman"/>
          <w:bCs/>
          <w:color w:val="000000"/>
          <w:sz w:val="24"/>
          <w:szCs w:val="24"/>
        </w:rPr>
        <w:t xml:space="preserve">each </w:t>
      </w:r>
      <w:r w:rsidR="00D80792">
        <w:rPr>
          <w:rFonts w:ascii="Times New Roman" w:eastAsia="Times New Roman" w:hAnsi="Times New Roman" w:cs="Times New Roman"/>
          <w:bCs/>
          <w:color w:val="000000"/>
          <w:sz w:val="24"/>
          <w:szCs w:val="24"/>
        </w:rPr>
        <w:t xml:space="preserve">product, </w:t>
      </w:r>
      <w:r w:rsidR="0023703C">
        <w:rPr>
          <w:rFonts w:ascii="Times New Roman" w:eastAsia="Times New Roman" w:hAnsi="Times New Roman" w:cs="Times New Roman"/>
          <w:bCs/>
          <w:color w:val="000000"/>
          <w:sz w:val="24"/>
          <w:szCs w:val="24"/>
        </w:rPr>
        <w:t xml:space="preserve">the ONC has since changed the </w:t>
      </w:r>
      <w:r w:rsidR="00CD7412">
        <w:rPr>
          <w:rFonts w:ascii="Times New Roman" w:eastAsia="Times New Roman" w:hAnsi="Times New Roman" w:cs="Times New Roman"/>
          <w:bCs/>
          <w:color w:val="000000"/>
          <w:sz w:val="24"/>
          <w:szCs w:val="24"/>
        </w:rPr>
        <w:t>format used for the ONC CHPL</w:t>
      </w:r>
      <w:r w:rsidR="00612736">
        <w:rPr>
          <w:rFonts w:ascii="Times New Roman" w:eastAsia="Times New Roman" w:hAnsi="Times New Roman" w:cs="Times New Roman"/>
          <w:bCs/>
          <w:color w:val="000000"/>
          <w:sz w:val="24"/>
          <w:szCs w:val="24"/>
        </w:rPr>
        <w:t>.</w:t>
      </w:r>
      <w:r w:rsidR="0023703C">
        <w:rPr>
          <w:rFonts w:ascii="Times New Roman" w:eastAsia="Times New Roman" w:hAnsi="Times New Roman" w:cs="Times New Roman"/>
          <w:bCs/>
          <w:color w:val="000000"/>
          <w:sz w:val="24"/>
          <w:szCs w:val="24"/>
        </w:rPr>
        <w:t xml:space="preserve"> </w:t>
      </w:r>
      <w:r w:rsidR="00612736">
        <w:rPr>
          <w:rFonts w:ascii="Times New Roman" w:eastAsia="Times New Roman" w:hAnsi="Times New Roman" w:cs="Times New Roman"/>
          <w:bCs/>
          <w:color w:val="000000"/>
          <w:sz w:val="24"/>
          <w:szCs w:val="24"/>
        </w:rPr>
        <w:t>U</w:t>
      </w:r>
      <w:r w:rsidR="0023703C">
        <w:rPr>
          <w:rFonts w:ascii="Times New Roman" w:eastAsia="Times New Roman" w:hAnsi="Times New Roman" w:cs="Times New Roman"/>
          <w:bCs/>
          <w:color w:val="000000"/>
          <w:sz w:val="24"/>
          <w:szCs w:val="24"/>
        </w:rPr>
        <w:t xml:space="preserve">sers can </w:t>
      </w:r>
      <w:r w:rsidR="00D80792">
        <w:rPr>
          <w:rFonts w:ascii="Times New Roman" w:eastAsia="Times New Roman" w:hAnsi="Times New Roman" w:cs="Times New Roman"/>
          <w:bCs/>
          <w:color w:val="000000"/>
          <w:sz w:val="24"/>
          <w:szCs w:val="24"/>
        </w:rPr>
        <w:t xml:space="preserve">now </w:t>
      </w:r>
      <w:r w:rsidR="0023703C">
        <w:rPr>
          <w:rFonts w:ascii="Times New Roman" w:eastAsia="Times New Roman" w:hAnsi="Times New Roman" w:cs="Times New Roman"/>
          <w:bCs/>
          <w:color w:val="000000"/>
          <w:sz w:val="24"/>
          <w:szCs w:val="24"/>
        </w:rPr>
        <w:t xml:space="preserve">search </w:t>
      </w:r>
      <w:r w:rsidR="00574EDB">
        <w:rPr>
          <w:rFonts w:ascii="Times New Roman" w:eastAsia="Times New Roman" w:hAnsi="Times New Roman" w:cs="Times New Roman"/>
          <w:bCs/>
          <w:color w:val="000000"/>
          <w:sz w:val="24"/>
          <w:szCs w:val="24"/>
        </w:rPr>
        <w:t xml:space="preserve">the ONC CHPL </w:t>
      </w:r>
      <w:r w:rsidR="0023703C">
        <w:rPr>
          <w:rFonts w:ascii="Times New Roman" w:eastAsia="Times New Roman" w:hAnsi="Times New Roman" w:cs="Times New Roman"/>
          <w:bCs/>
          <w:color w:val="000000"/>
          <w:sz w:val="24"/>
          <w:szCs w:val="24"/>
        </w:rPr>
        <w:t>according to particular certification criteria requirements, such as 170.302(m).</w:t>
      </w:r>
      <w:bookmarkEnd w:id="9"/>
      <w:bookmarkEnd w:id="10"/>
      <w:bookmarkEnd w:id="11"/>
    </w:p>
    <w:p w14:paraId="6F7431F4" w14:textId="77777777" w:rsidR="00DA2437" w:rsidRDefault="00DA2437"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13" w:name="_Toc282615597"/>
    </w:p>
    <w:p w14:paraId="6F7431F5" w14:textId="23FBA61C" w:rsidR="009B20D3" w:rsidRPr="00EB2924" w:rsidRDefault="00A96886"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14" w:name="_Toc284948711"/>
      <w:r>
        <w:rPr>
          <w:rFonts w:ascii="Times New Roman" w:eastAsia="Times New Roman" w:hAnsi="Times New Roman" w:cs="Times New Roman"/>
          <w:bCs/>
          <w:color w:val="000000"/>
          <w:sz w:val="24"/>
          <w:szCs w:val="24"/>
        </w:rPr>
        <w:t>The Associate recorded a</w:t>
      </w:r>
      <w:r w:rsidR="00D176EE">
        <w:rPr>
          <w:rFonts w:ascii="Times New Roman" w:eastAsia="Times New Roman" w:hAnsi="Times New Roman" w:cs="Times New Roman"/>
          <w:bCs/>
          <w:color w:val="000000"/>
          <w:sz w:val="24"/>
          <w:szCs w:val="24"/>
        </w:rPr>
        <w:t xml:space="preserve">dditional fields of criteria besides 170.302(m), including </w:t>
      </w:r>
      <w:r>
        <w:rPr>
          <w:rFonts w:ascii="Times New Roman" w:eastAsia="Times New Roman" w:hAnsi="Times New Roman" w:cs="Times New Roman"/>
          <w:bCs/>
          <w:color w:val="000000"/>
          <w:sz w:val="24"/>
          <w:szCs w:val="24"/>
        </w:rPr>
        <w:t>170.306(d</w:t>
      </w:r>
      <w:proofErr w:type="gramStart"/>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1):</w:t>
      </w:r>
      <w:r w:rsidR="00D176E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electronic copy of patient clinical information</w:t>
      </w:r>
      <w:r w:rsidR="00113F4B">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170.306(d)(2): Electronic copy of patient discharge summary</w:t>
      </w:r>
      <w:r w:rsidR="00113F4B">
        <w:rPr>
          <w:rFonts w:ascii="Times New Roman" w:eastAsia="Times New Roman" w:hAnsi="Times New Roman" w:cs="Times New Roman"/>
          <w:bCs/>
          <w:color w:val="000000"/>
          <w:sz w:val="24"/>
          <w:szCs w:val="24"/>
        </w:rPr>
        <w:t>; and</w:t>
      </w:r>
      <w:r>
        <w:rPr>
          <w:rFonts w:ascii="Times New Roman" w:eastAsia="Times New Roman" w:hAnsi="Times New Roman" w:cs="Times New Roman"/>
          <w:bCs/>
          <w:color w:val="000000"/>
          <w:sz w:val="24"/>
          <w:szCs w:val="24"/>
        </w:rPr>
        <w:t xml:space="preserve"> 170.306(e):</w:t>
      </w:r>
      <w:r w:rsidR="00883092">
        <w:rPr>
          <w:rFonts w:ascii="Times New Roman" w:eastAsia="Times New Roman" w:hAnsi="Times New Roman" w:cs="Times New Roman"/>
          <w:bCs/>
          <w:color w:val="000000"/>
          <w:sz w:val="24"/>
          <w:szCs w:val="24"/>
        </w:rPr>
        <w:t xml:space="preserve">Electronic copy of discharge instructions. </w:t>
      </w:r>
      <w:r>
        <w:rPr>
          <w:rFonts w:ascii="Times New Roman" w:eastAsia="Times New Roman" w:hAnsi="Times New Roman" w:cs="Times New Roman"/>
          <w:bCs/>
          <w:color w:val="000000"/>
          <w:sz w:val="24"/>
          <w:szCs w:val="24"/>
        </w:rPr>
        <w:t xml:space="preserve"> </w:t>
      </w:r>
      <w:r w:rsidR="00D80792">
        <w:rPr>
          <w:rFonts w:ascii="Times New Roman" w:eastAsia="Times New Roman" w:hAnsi="Times New Roman" w:cs="Times New Roman"/>
          <w:bCs/>
          <w:color w:val="000000"/>
          <w:sz w:val="24"/>
          <w:szCs w:val="24"/>
        </w:rPr>
        <w:t>T</w:t>
      </w:r>
      <w:r w:rsidR="00D176EE">
        <w:rPr>
          <w:rFonts w:ascii="Times New Roman" w:eastAsia="Times New Roman" w:hAnsi="Times New Roman" w:cs="Times New Roman"/>
          <w:bCs/>
          <w:color w:val="000000"/>
          <w:sz w:val="24"/>
          <w:szCs w:val="24"/>
        </w:rPr>
        <w:t>he</w:t>
      </w:r>
      <w:r w:rsidR="00883092">
        <w:rPr>
          <w:rFonts w:ascii="Times New Roman" w:eastAsia="Times New Roman" w:hAnsi="Times New Roman" w:cs="Times New Roman"/>
          <w:bCs/>
          <w:color w:val="000000"/>
          <w:sz w:val="24"/>
          <w:szCs w:val="24"/>
        </w:rPr>
        <w:t xml:space="preserve"> ONC has since revi</w:t>
      </w:r>
      <w:r w:rsidR="00D176EE">
        <w:rPr>
          <w:rFonts w:ascii="Times New Roman" w:eastAsia="Times New Roman" w:hAnsi="Times New Roman" w:cs="Times New Roman"/>
          <w:bCs/>
          <w:color w:val="000000"/>
          <w:sz w:val="24"/>
          <w:szCs w:val="24"/>
        </w:rPr>
        <w:t>se</w:t>
      </w:r>
      <w:r w:rsidR="00883092">
        <w:rPr>
          <w:rFonts w:ascii="Times New Roman" w:eastAsia="Times New Roman" w:hAnsi="Times New Roman" w:cs="Times New Roman"/>
          <w:bCs/>
          <w:color w:val="000000"/>
          <w:sz w:val="24"/>
          <w:szCs w:val="24"/>
        </w:rPr>
        <w:t>d these</w:t>
      </w:r>
      <w:r w:rsidR="0023703C">
        <w:rPr>
          <w:rFonts w:ascii="Times New Roman" w:eastAsia="Times New Roman" w:hAnsi="Times New Roman" w:cs="Times New Roman"/>
          <w:bCs/>
          <w:color w:val="000000"/>
          <w:sz w:val="24"/>
          <w:szCs w:val="24"/>
        </w:rPr>
        <w:t xml:space="preserve"> fields within the ONC </w:t>
      </w:r>
      <w:r w:rsidR="00EB2924">
        <w:rPr>
          <w:rFonts w:ascii="Times New Roman" w:eastAsia="Times New Roman" w:hAnsi="Times New Roman" w:cs="Times New Roman"/>
          <w:bCs/>
          <w:color w:val="000000"/>
          <w:sz w:val="24"/>
          <w:szCs w:val="24"/>
        </w:rPr>
        <w:t>CHPL and</w:t>
      </w:r>
      <w:r w:rsidR="00D176EE">
        <w:rPr>
          <w:rFonts w:ascii="Times New Roman" w:eastAsia="Times New Roman" w:hAnsi="Times New Roman" w:cs="Times New Roman"/>
          <w:bCs/>
          <w:color w:val="000000"/>
          <w:sz w:val="24"/>
          <w:szCs w:val="24"/>
        </w:rPr>
        <w:t xml:space="preserve"> </w:t>
      </w:r>
      <w:r w:rsidR="00883092">
        <w:rPr>
          <w:rFonts w:ascii="Times New Roman" w:eastAsia="Times New Roman" w:hAnsi="Times New Roman" w:cs="Times New Roman"/>
          <w:bCs/>
          <w:color w:val="000000"/>
          <w:sz w:val="24"/>
          <w:szCs w:val="24"/>
        </w:rPr>
        <w:t xml:space="preserve">they </w:t>
      </w:r>
      <w:r w:rsidR="0023703C">
        <w:rPr>
          <w:rFonts w:ascii="Times New Roman" w:eastAsia="Times New Roman" w:hAnsi="Times New Roman" w:cs="Times New Roman"/>
          <w:bCs/>
          <w:color w:val="000000"/>
          <w:sz w:val="24"/>
          <w:szCs w:val="24"/>
        </w:rPr>
        <w:t xml:space="preserve">are therefore not listed within the key or the final </w:t>
      </w:r>
      <w:r w:rsidR="00512831">
        <w:rPr>
          <w:rFonts w:ascii="Times New Roman" w:eastAsia="Times New Roman" w:hAnsi="Times New Roman" w:cs="Times New Roman"/>
          <w:bCs/>
          <w:color w:val="000000"/>
          <w:sz w:val="24"/>
          <w:szCs w:val="24"/>
        </w:rPr>
        <w:t>spreadsheet</w:t>
      </w:r>
      <w:r w:rsidR="0023703C">
        <w:rPr>
          <w:rFonts w:ascii="Times New Roman" w:eastAsia="Times New Roman" w:hAnsi="Times New Roman" w:cs="Times New Roman"/>
          <w:bCs/>
          <w:color w:val="000000"/>
          <w:sz w:val="24"/>
          <w:szCs w:val="24"/>
        </w:rPr>
        <w:t>.</w:t>
      </w:r>
      <w:bookmarkEnd w:id="12"/>
      <w:bookmarkEnd w:id="13"/>
      <w:bookmarkEnd w:id="14"/>
    </w:p>
    <w:p w14:paraId="6F7431F6" w14:textId="77777777" w:rsidR="00DA2437" w:rsidRDefault="00DA2437"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15" w:name="_Toc282451065"/>
      <w:bookmarkStart w:id="16" w:name="_Toc282583176"/>
      <w:bookmarkStart w:id="17" w:name="_Toc282615598"/>
    </w:p>
    <w:p w14:paraId="6F7431F7" w14:textId="5BC27B6B" w:rsidR="0023703C" w:rsidRDefault="00574EDB"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18" w:name="_Toc284948712"/>
      <w:r>
        <w:rPr>
          <w:rFonts w:ascii="Times New Roman" w:eastAsia="Times New Roman" w:hAnsi="Times New Roman" w:cs="Times New Roman"/>
          <w:bCs/>
          <w:color w:val="000000"/>
          <w:sz w:val="24"/>
          <w:szCs w:val="24"/>
        </w:rPr>
        <w:t xml:space="preserve">Once the Associate determined the </w:t>
      </w:r>
      <w:r w:rsidR="00612736">
        <w:rPr>
          <w:rFonts w:ascii="Times New Roman" w:eastAsia="Times New Roman" w:hAnsi="Times New Roman" w:cs="Times New Roman"/>
          <w:bCs/>
          <w:color w:val="000000"/>
          <w:sz w:val="24"/>
          <w:szCs w:val="24"/>
        </w:rPr>
        <w:t xml:space="preserve">CHPL </w:t>
      </w:r>
      <w:r w:rsidRPr="00896265">
        <w:rPr>
          <w:rFonts w:ascii="Times New Roman" w:eastAsia="Times New Roman" w:hAnsi="Times New Roman" w:cs="Times New Roman"/>
          <w:bCs/>
          <w:color w:val="000000"/>
          <w:sz w:val="24"/>
          <w:szCs w:val="24"/>
        </w:rPr>
        <w:t>list of EHRs</w:t>
      </w:r>
      <w:r>
        <w:rPr>
          <w:rFonts w:ascii="Times New Roman" w:eastAsia="Times New Roman" w:hAnsi="Times New Roman" w:cs="Times New Roman"/>
          <w:bCs/>
          <w:color w:val="000000"/>
          <w:sz w:val="24"/>
          <w:szCs w:val="24"/>
        </w:rPr>
        <w:t xml:space="preserve"> with</w:t>
      </w:r>
      <w:r w:rsidRPr="0089626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provisional certification</w:t>
      </w:r>
      <w:r w:rsidRPr="0089626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that</w:t>
      </w:r>
      <w:r w:rsidRPr="00896265">
        <w:rPr>
          <w:rFonts w:ascii="Times New Roman" w:eastAsia="Times New Roman" w:hAnsi="Times New Roman" w:cs="Times New Roman"/>
          <w:bCs/>
          <w:color w:val="000000"/>
          <w:sz w:val="24"/>
          <w:szCs w:val="24"/>
        </w:rPr>
        <w:t xml:space="preserve"> met the 170.302(m)</w:t>
      </w:r>
      <w:r>
        <w:rPr>
          <w:rFonts w:ascii="Times New Roman" w:eastAsia="Times New Roman" w:hAnsi="Times New Roman" w:cs="Times New Roman"/>
          <w:bCs/>
          <w:color w:val="000000"/>
          <w:sz w:val="24"/>
          <w:szCs w:val="24"/>
        </w:rPr>
        <w:t xml:space="preserve"> </w:t>
      </w:r>
      <w:r w:rsidR="00612736">
        <w:rPr>
          <w:rFonts w:ascii="Times New Roman" w:eastAsia="Times New Roman" w:hAnsi="Times New Roman" w:cs="Times New Roman"/>
          <w:bCs/>
          <w:color w:val="000000"/>
          <w:sz w:val="24"/>
          <w:szCs w:val="24"/>
        </w:rPr>
        <w:t xml:space="preserve">certification </w:t>
      </w:r>
      <w:r>
        <w:rPr>
          <w:rFonts w:ascii="Times New Roman" w:eastAsia="Times New Roman" w:hAnsi="Times New Roman" w:cs="Times New Roman"/>
          <w:bCs/>
          <w:color w:val="000000"/>
          <w:sz w:val="24"/>
          <w:szCs w:val="24"/>
        </w:rPr>
        <w:t>criteria</w:t>
      </w:r>
      <w:r w:rsidRPr="00896265">
        <w:rPr>
          <w:rFonts w:ascii="Times New Roman" w:eastAsia="Times New Roman" w:hAnsi="Times New Roman" w:cs="Times New Roman"/>
          <w:bCs/>
          <w:color w:val="000000"/>
          <w:sz w:val="24"/>
          <w:szCs w:val="24"/>
        </w:rPr>
        <w:t xml:space="preserve"> as of November 12, 2010</w:t>
      </w:r>
      <w:r>
        <w:rPr>
          <w:rFonts w:ascii="Times New Roman" w:eastAsia="Times New Roman" w:hAnsi="Times New Roman" w:cs="Times New Roman"/>
          <w:bCs/>
          <w:color w:val="000000"/>
          <w:sz w:val="24"/>
          <w:szCs w:val="24"/>
        </w:rPr>
        <w:t>, the rest of the spreadsheet was created</w:t>
      </w:r>
      <w:r w:rsidR="00612736">
        <w:rPr>
          <w:rFonts w:ascii="Times New Roman" w:eastAsia="Times New Roman" w:hAnsi="Times New Roman" w:cs="Times New Roman"/>
          <w:bCs/>
          <w:color w:val="000000"/>
          <w:sz w:val="24"/>
          <w:szCs w:val="24"/>
        </w:rPr>
        <w:t xml:space="preserve"> and additional</w:t>
      </w:r>
      <w:r w:rsidR="00452BEA">
        <w:rPr>
          <w:rFonts w:ascii="Times New Roman" w:eastAsia="Times New Roman" w:hAnsi="Times New Roman" w:cs="Times New Roman"/>
          <w:bCs/>
          <w:color w:val="000000"/>
          <w:sz w:val="24"/>
          <w:szCs w:val="24"/>
        </w:rPr>
        <w:t xml:space="preserve"> fields for analysis were determined and defined within the Excel spreadsheet. </w:t>
      </w:r>
      <w:r w:rsidR="009B20D3" w:rsidRPr="00896265">
        <w:rPr>
          <w:rFonts w:ascii="Times New Roman" w:eastAsia="Times New Roman" w:hAnsi="Times New Roman" w:cs="Times New Roman"/>
          <w:bCs/>
          <w:color w:val="000000"/>
          <w:sz w:val="24"/>
          <w:szCs w:val="24"/>
        </w:rPr>
        <w:t xml:space="preserve"> These fields</w:t>
      </w:r>
      <w:r w:rsidR="00902CE0">
        <w:rPr>
          <w:rFonts w:ascii="Times New Roman" w:eastAsia="Times New Roman" w:hAnsi="Times New Roman" w:cs="Times New Roman"/>
          <w:bCs/>
          <w:color w:val="000000"/>
          <w:sz w:val="24"/>
          <w:szCs w:val="24"/>
        </w:rPr>
        <w:t>, chosen for their relevance to the project and MedlinePlus Connect,</w:t>
      </w:r>
      <w:r w:rsidR="009B20D3" w:rsidRPr="00896265">
        <w:rPr>
          <w:rFonts w:ascii="Times New Roman" w:eastAsia="Times New Roman" w:hAnsi="Times New Roman" w:cs="Times New Roman"/>
          <w:bCs/>
          <w:color w:val="000000"/>
          <w:sz w:val="24"/>
          <w:szCs w:val="24"/>
        </w:rPr>
        <w:t xml:space="preserve"> provided the areas of investigation and focus for </w:t>
      </w:r>
      <w:r w:rsidR="00902CE0">
        <w:rPr>
          <w:rFonts w:ascii="Times New Roman" w:eastAsia="Times New Roman" w:hAnsi="Times New Roman" w:cs="Times New Roman"/>
          <w:bCs/>
          <w:color w:val="000000"/>
          <w:sz w:val="24"/>
          <w:szCs w:val="24"/>
        </w:rPr>
        <w:t>the</w:t>
      </w:r>
      <w:r w:rsidR="006178A3">
        <w:rPr>
          <w:rFonts w:ascii="Times New Roman" w:eastAsia="Times New Roman" w:hAnsi="Times New Roman" w:cs="Times New Roman"/>
          <w:bCs/>
          <w:color w:val="000000"/>
          <w:sz w:val="24"/>
          <w:szCs w:val="24"/>
        </w:rPr>
        <w:t xml:space="preserve"> environmental scan. T</w:t>
      </w:r>
      <w:r w:rsidR="009B20D3" w:rsidRPr="00896265">
        <w:rPr>
          <w:rFonts w:ascii="Times New Roman" w:eastAsia="Times New Roman" w:hAnsi="Times New Roman" w:cs="Times New Roman"/>
          <w:bCs/>
          <w:color w:val="000000"/>
          <w:sz w:val="24"/>
          <w:szCs w:val="24"/>
        </w:rPr>
        <w:t xml:space="preserve">he initial fields </w:t>
      </w:r>
      <w:r w:rsidR="006178A3">
        <w:rPr>
          <w:rFonts w:ascii="Times New Roman" w:eastAsia="Times New Roman" w:hAnsi="Times New Roman" w:cs="Times New Roman"/>
          <w:bCs/>
          <w:color w:val="000000"/>
          <w:sz w:val="24"/>
          <w:szCs w:val="24"/>
        </w:rPr>
        <w:t xml:space="preserve">were refined </w:t>
      </w:r>
      <w:r w:rsidR="009B20D3" w:rsidRPr="00896265">
        <w:rPr>
          <w:rFonts w:ascii="Times New Roman" w:eastAsia="Times New Roman" w:hAnsi="Times New Roman" w:cs="Times New Roman"/>
          <w:bCs/>
          <w:color w:val="000000"/>
          <w:sz w:val="24"/>
          <w:szCs w:val="24"/>
        </w:rPr>
        <w:t>after receiving two round</w:t>
      </w:r>
      <w:r w:rsidR="00902CE0">
        <w:rPr>
          <w:rFonts w:ascii="Times New Roman" w:eastAsia="Times New Roman" w:hAnsi="Times New Roman" w:cs="Times New Roman"/>
          <w:bCs/>
          <w:color w:val="000000"/>
          <w:sz w:val="24"/>
          <w:szCs w:val="24"/>
        </w:rPr>
        <w:t>s</w:t>
      </w:r>
      <w:r w:rsidR="009B20D3" w:rsidRPr="00896265">
        <w:rPr>
          <w:rFonts w:ascii="Times New Roman" w:eastAsia="Times New Roman" w:hAnsi="Times New Roman" w:cs="Times New Roman"/>
          <w:bCs/>
          <w:color w:val="000000"/>
          <w:sz w:val="24"/>
          <w:szCs w:val="24"/>
        </w:rPr>
        <w:t xml:space="preserve"> of input from the proje</w:t>
      </w:r>
      <w:r w:rsidR="006178A3">
        <w:rPr>
          <w:rFonts w:ascii="Times New Roman" w:eastAsia="Times New Roman" w:hAnsi="Times New Roman" w:cs="Times New Roman"/>
          <w:bCs/>
          <w:color w:val="000000"/>
          <w:sz w:val="24"/>
          <w:szCs w:val="24"/>
        </w:rPr>
        <w:t xml:space="preserve">ct supervisors. </w:t>
      </w:r>
      <w:r w:rsidR="009B20D3" w:rsidRPr="00896265">
        <w:rPr>
          <w:rFonts w:ascii="Times New Roman" w:eastAsia="Times New Roman" w:hAnsi="Times New Roman" w:cs="Times New Roman"/>
          <w:bCs/>
          <w:color w:val="000000"/>
          <w:sz w:val="24"/>
          <w:szCs w:val="24"/>
        </w:rPr>
        <w:t xml:space="preserve">The final fields are </w:t>
      </w:r>
      <w:r w:rsidR="00902CE0">
        <w:rPr>
          <w:rFonts w:ascii="Times New Roman" w:eastAsia="Times New Roman" w:hAnsi="Times New Roman" w:cs="Times New Roman"/>
          <w:bCs/>
          <w:color w:val="000000"/>
          <w:sz w:val="24"/>
          <w:szCs w:val="24"/>
        </w:rPr>
        <w:t>listed</w:t>
      </w:r>
      <w:r w:rsidR="009B20D3" w:rsidRPr="00896265">
        <w:rPr>
          <w:rFonts w:ascii="Times New Roman" w:eastAsia="Times New Roman" w:hAnsi="Times New Roman" w:cs="Times New Roman"/>
          <w:bCs/>
          <w:color w:val="000000"/>
          <w:sz w:val="24"/>
          <w:szCs w:val="24"/>
        </w:rPr>
        <w:t xml:space="preserve"> in </w:t>
      </w:r>
      <w:r w:rsidR="00223C57" w:rsidRPr="00ED5EDF">
        <w:rPr>
          <w:rFonts w:ascii="Times New Roman" w:eastAsia="Times New Roman" w:hAnsi="Times New Roman" w:cs="Times New Roman"/>
          <w:bCs/>
          <w:i/>
          <w:color w:val="000000"/>
          <w:sz w:val="24"/>
          <w:szCs w:val="24"/>
        </w:rPr>
        <w:t xml:space="preserve">Appendix </w:t>
      </w:r>
      <w:r w:rsidR="006C4175">
        <w:rPr>
          <w:rFonts w:ascii="Times New Roman" w:eastAsia="Times New Roman" w:hAnsi="Times New Roman" w:cs="Times New Roman"/>
          <w:bCs/>
          <w:i/>
          <w:color w:val="000000"/>
          <w:sz w:val="24"/>
          <w:szCs w:val="24"/>
        </w:rPr>
        <w:t>C</w:t>
      </w:r>
      <w:bookmarkEnd w:id="15"/>
      <w:r w:rsidR="00902CE0">
        <w:rPr>
          <w:rFonts w:ascii="Times New Roman" w:eastAsia="Times New Roman" w:hAnsi="Times New Roman" w:cs="Times New Roman"/>
          <w:bCs/>
          <w:i/>
          <w:color w:val="000000"/>
          <w:sz w:val="24"/>
          <w:szCs w:val="24"/>
        </w:rPr>
        <w:t>:</w:t>
      </w:r>
      <w:r w:rsidR="00452BEA">
        <w:rPr>
          <w:rFonts w:ascii="Times New Roman" w:eastAsia="Times New Roman" w:hAnsi="Times New Roman" w:cs="Times New Roman"/>
          <w:bCs/>
          <w:i/>
          <w:color w:val="000000"/>
          <w:sz w:val="24"/>
          <w:szCs w:val="24"/>
        </w:rPr>
        <w:t xml:space="preserve"> Fields and Definitions for EHR Spreadsheet</w:t>
      </w:r>
      <w:r w:rsidR="00223C57" w:rsidRPr="00ED5EDF">
        <w:rPr>
          <w:rFonts w:ascii="Times New Roman" w:eastAsia="Times New Roman" w:hAnsi="Times New Roman" w:cs="Times New Roman"/>
          <w:bCs/>
          <w:i/>
          <w:color w:val="000000"/>
          <w:sz w:val="24"/>
          <w:szCs w:val="24"/>
        </w:rPr>
        <w:t>.</w:t>
      </w:r>
      <w:bookmarkEnd w:id="16"/>
      <w:bookmarkEnd w:id="17"/>
      <w:r w:rsidR="00223C57">
        <w:rPr>
          <w:rFonts w:ascii="Times New Roman" w:eastAsia="Times New Roman" w:hAnsi="Times New Roman" w:cs="Times New Roman"/>
          <w:bCs/>
          <w:color w:val="000000"/>
          <w:sz w:val="24"/>
          <w:szCs w:val="24"/>
        </w:rPr>
        <w:t xml:space="preserve"> </w:t>
      </w:r>
      <w:r w:rsidR="009B20D3" w:rsidRPr="00896265">
        <w:rPr>
          <w:rFonts w:ascii="Times New Roman" w:eastAsia="Times New Roman" w:hAnsi="Times New Roman" w:cs="Times New Roman"/>
          <w:bCs/>
          <w:color w:val="000000"/>
          <w:sz w:val="24"/>
          <w:szCs w:val="24"/>
        </w:rPr>
        <w:t xml:space="preserve"> </w:t>
      </w:r>
      <w:bookmarkStart w:id="19" w:name="_Toc282451066"/>
      <w:bookmarkStart w:id="20" w:name="_Toc282583177"/>
      <w:bookmarkStart w:id="21" w:name="_Toc282615599"/>
      <w:r w:rsidR="009B20D3" w:rsidRPr="00896265">
        <w:rPr>
          <w:rFonts w:ascii="Times New Roman" w:eastAsia="Times New Roman" w:hAnsi="Times New Roman" w:cs="Times New Roman"/>
          <w:bCs/>
          <w:color w:val="000000"/>
          <w:sz w:val="24"/>
          <w:szCs w:val="24"/>
        </w:rPr>
        <w:t xml:space="preserve">Once the </w:t>
      </w:r>
      <w:r w:rsidR="00D369E0">
        <w:rPr>
          <w:rFonts w:ascii="Times New Roman" w:eastAsia="Times New Roman" w:hAnsi="Times New Roman" w:cs="Times New Roman"/>
          <w:bCs/>
          <w:color w:val="000000"/>
          <w:sz w:val="24"/>
          <w:szCs w:val="24"/>
        </w:rPr>
        <w:t xml:space="preserve">Associate determined the </w:t>
      </w:r>
      <w:r w:rsidR="009B20D3" w:rsidRPr="00896265">
        <w:rPr>
          <w:rFonts w:ascii="Times New Roman" w:eastAsia="Times New Roman" w:hAnsi="Times New Roman" w:cs="Times New Roman"/>
          <w:bCs/>
          <w:color w:val="000000"/>
          <w:sz w:val="24"/>
          <w:szCs w:val="24"/>
        </w:rPr>
        <w:t>lis</w:t>
      </w:r>
      <w:r w:rsidR="00867D2E">
        <w:rPr>
          <w:rFonts w:ascii="Times New Roman" w:eastAsia="Times New Roman" w:hAnsi="Times New Roman" w:cs="Times New Roman"/>
          <w:bCs/>
          <w:color w:val="000000"/>
          <w:sz w:val="24"/>
          <w:szCs w:val="24"/>
        </w:rPr>
        <w:t xml:space="preserve">t of fields, </w:t>
      </w:r>
      <w:r w:rsidR="009B20D3" w:rsidRPr="00896265">
        <w:rPr>
          <w:rFonts w:ascii="Times New Roman" w:eastAsia="Times New Roman" w:hAnsi="Times New Roman" w:cs="Times New Roman"/>
          <w:bCs/>
          <w:color w:val="000000"/>
          <w:sz w:val="24"/>
          <w:szCs w:val="24"/>
        </w:rPr>
        <w:t xml:space="preserve">the </w:t>
      </w:r>
      <w:r w:rsidR="00D369E0">
        <w:rPr>
          <w:rFonts w:ascii="Times New Roman" w:eastAsia="Times New Roman" w:hAnsi="Times New Roman" w:cs="Times New Roman"/>
          <w:bCs/>
          <w:color w:val="000000"/>
          <w:sz w:val="24"/>
          <w:szCs w:val="24"/>
        </w:rPr>
        <w:t xml:space="preserve">Associate </w:t>
      </w:r>
      <w:r w:rsidR="00867D2E">
        <w:rPr>
          <w:rFonts w:ascii="Times New Roman" w:eastAsia="Times New Roman" w:hAnsi="Times New Roman" w:cs="Times New Roman"/>
          <w:bCs/>
          <w:color w:val="000000"/>
          <w:sz w:val="24"/>
          <w:szCs w:val="24"/>
        </w:rPr>
        <w:t xml:space="preserve">conducted </w:t>
      </w:r>
      <w:r w:rsidR="00D369E0">
        <w:rPr>
          <w:rFonts w:ascii="Times New Roman" w:eastAsia="Times New Roman" w:hAnsi="Times New Roman" w:cs="Times New Roman"/>
          <w:bCs/>
          <w:color w:val="000000"/>
          <w:sz w:val="24"/>
          <w:szCs w:val="24"/>
        </w:rPr>
        <w:t xml:space="preserve">the scan, </w:t>
      </w:r>
      <w:r w:rsidR="009B20D3" w:rsidRPr="00896265">
        <w:rPr>
          <w:rFonts w:ascii="Times New Roman" w:eastAsia="Times New Roman" w:hAnsi="Times New Roman" w:cs="Times New Roman"/>
          <w:bCs/>
          <w:color w:val="000000"/>
          <w:sz w:val="24"/>
          <w:szCs w:val="24"/>
        </w:rPr>
        <w:t xml:space="preserve">focusing on </w:t>
      </w:r>
      <w:r w:rsidR="004D67B4">
        <w:rPr>
          <w:rFonts w:ascii="Times New Roman" w:eastAsia="Times New Roman" w:hAnsi="Times New Roman" w:cs="Times New Roman"/>
          <w:bCs/>
          <w:color w:val="000000"/>
          <w:sz w:val="24"/>
          <w:szCs w:val="24"/>
        </w:rPr>
        <w:t>p</w:t>
      </w:r>
      <w:r w:rsidR="009B20D3" w:rsidRPr="00896265">
        <w:rPr>
          <w:rFonts w:ascii="Times New Roman" w:eastAsia="Times New Roman" w:hAnsi="Times New Roman" w:cs="Times New Roman"/>
          <w:bCs/>
          <w:color w:val="000000"/>
          <w:sz w:val="24"/>
          <w:szCs w:val="24"/>
        </w:rPr>
        <w:t>atient-specific education resources</w:t>
      </w:r>
      <w:r w:rsidR="009B20D3" w:rsidRPr="004D67B4">
        <w:rPr>
          <w:rFonts w:ascii="Times New Roman" w:eastAsia="Times New Roman" w:hAnsi="Times New Roman" w:cs="Times New Roman"/>
          <w:bCs/>
          <w:color w:val="000000"/>
          <w:sz w:val="24"/>
          <w:szCs w:val="24"/>
        </w:rPr>
        <w:t xml:space="preserve">. </w:t>
      </w:r>
      <w:r w:rsidR="00612736">
        <w:rPr>
          <w:rFonts w:ascii="Times New Roman" w:eastAsia="Times New Roman" w:hAnsi="Times New Roman" w:cs="Times New Roman"/>
          <w:bCs/>
          <w:color w:val="000000"/>
          <w:sz w:val="24"/>
          <w:szCs w:val="24"/>
        </w:rPr>
        <w:t xml:space="preserve">One of the main goals considered during this process was to identify the course of the patient information for each of these EHR products. </w:t>
      </w:r>
      <w:r w:rsidR="009B20D3" w:rsidRPr="00896265">
        <w:rPr>
          <w:rFonts w:ascii="Times New Roman" w:eastAsia="Times New Roman" w:hAnsi="Times New Roman" w:cs="Times New Roman"/>
          <w:bCs/>
          <w:color w:val="000000"/>
          <w:sz w:val="24"/>
          <w:szCs w:val="24"/>
        </w:rPr>
        <w:t>While conducting the sc</w:t>
      </w:r>
      <w:r w:rsidR="00867D2E">
        <w:rPr>
          <w:rFonts w:ascii="Times New Roman" w:eastAsia="Times New Roman" w:hAnsi="Times New Roman" w:cs="Times New Roman"/>
          <w:bCs/>
          <w:color w:val="000000"/>
          <w:sz w:val="24"/>
          <w:szCs w:val="24"/>
        </w:rPr>
        <w:t>an,</w:t>
      </w:r>
      <w:r w:rsidR="009B20D3" w:rsidRPr="00896265">
        <w:rPr>
          <w:rFonts w:ascii="Times New Roman" w:eastAsia="Times New Roman" w:hAnsi="Times New Roman" w:cs="Times New Roman"/>
          <w:bCs/>
          <w:color w:val="000000"/>
          <w:sz w:val="24"/>
          <w:szCs w:val="24"/>
        </w:rPr>
        <w:t xml:space="preserve"> </w:t>
      </w:r>
      <w:r w:rsidR="00867D2E">
        <w:rPr>
          <w:rFonts w:ascii="Times New Roman" w:eastAsia="Times New Roman" w:hAnsi="Times New Roman" w:cs="Times New Roman"/>
          <w:bCs/>
          <w:color w:val="000000"/>
          <w:sz w:val="24"/>
          <w:szCs w:val="24"/>
        </w:rPr>
        <w:t>the p</w:t>
      </w:r>
      <w:r w:rsidR="00581C68" w:rsidRPr="00896265">
        <w:rPr>
          <w:rFonts w:ascii="Times New Roman" w:eastAsia="Times New Roman" w:hAnsi="Times New Roman" w:cs="Times New Roman"/>
          <w:bCs/>
          <w:color w:val="000000"/>
          <w:sz w:val="24"/>
          <w:szCs w:val="24"/>
        </w:rPr>
        <w:t>atient-</w:t>
      </w:r>
      <w:r w:rsidR="009B20D3" w:rsidRPr="00896265">
        <w:rPr>
          <w:rFonts w:ascii="Times New Roman" w:eastAsia="Times New Roman" w:hAnsi="Times New Roman" w:cs="Times New Roman"/>
          <w:bCs/>
          <w:color w:val="000000"/>
          <w:sz w:val="24"/>
          <w:szCs w:val="24"/>
        </w:rPr>
        <w:t xml:space="preserve">specific </w:t>
      </w:r>
      <w:r w:rsidR="00581C68" w:rsidRPr="00896265">
        <w:rPr>
          <w:rFonts w:ascii="Times New Roman" w:eastAsia="Times New Roman" w:hAnsi="Times New Roman" w:cs="Times New Roman"/>
          <w:bCs/>
          <w:color w:val="000000"/>
          <w:sz w:val="24"/>
          <w:szCs w:val="24"/>
        </w:rPr>
        <w:t xml:space="preserve">education resources </w:t>
      </w:r>
      <w:r w:rsidR="00867D2E">
        <w:rPr>
          <w:rFonts w:ascii="Times New Roman" w:eastAsia="Times New Roman" w:hAnsi="Times New Roman" w:cs="Times New Roman"/>
          <w:bCs/>
          <w:color w:val="000000"/>
          <w:sz w:val="24"/>
          <w:szCs w:val="24"/>
        </w:rPr>
        <w:t>were noted and compiled</w:t>
      </w:r>
      <w:r w:rsidR="00902CE0">
        <w:rPr>
          <w:rFonts w:ascii="Times New Roman" w:eastAsia="Times New Roman" w:hAnsi="Times New Roman" w:cs="Times New Roman"/>
          <w:bCs/>
          <w:color w:val="000000"/>
          <w:sz w:val="24"/>
          <w:szCs w:val="24"/>
        </w:rPr>
        <w:t>. The final patient-specific education resources are available</w:t>
      </w:r>
      <w:bookmarkEnd w:id="19"/>
      <w:bookmarkEnd w:id="20"/>
      <w:r w:rsidR="00452BEA">
        <w:rPr>
          <w:rFonts w:ascii="Times New Roman" w:eastAsia="Times New Roman" w:hAnsi="Times New Roman" w:cs="Times New Roman"/>
          <w:bCs/>
          <w:color w:val="000000"/>
          <w:sz w:val="24"/>
          <w:szCs w:val="24"/>
        </w:rPr>
        <w:t xml:space="preserve"> in </w:t>
      </w:r>
      <w:r w:rsidR="00452BEA" w:rsidRPr="00452BEA">
        <w:rPr>
          <w:rFonts w:ascii="Times New Roman" w:eastAsia="Times New Roman" w:hAnsi="Times New Roman" w:cs="Times New Roman"/>
          <w:bCs/>
          <w:i/>
          <w:color w:val="000000"/>
          <w:sz w:val="24"/>
          <w:szCs w:val="24"/>
        </w:rPr>
        <w:t xml:space="preserve">Appendix </w:t>
      </w:r>
      <w:r w:rsidR="006C4175">
        <w:rPr>
          <w:rFonts w:ascii="Times New Roman" w:eastAsia="Times New Roman" w:hAnsi="Times New Roman" w:cs="Times New Roman"/>
          <w:bCs/>
          <w:i/>
          <w:color w:val="000000"/>
          <w:sz w:val="24"/>
          <w:szCs w:val="24"/>
        </w:rPr>
        <w:t>D</w:t>
      </w:r>
      <w:r w:rsidR="00452BEA" w:rsidRPr="00452BEA">
        <w:rPr>
          <w:rFonts w:ascii="Times New Roman" w:eastAsia="Times New Roman" w:hAnsi="Times New Roman" w:cs="Times New Roman"/>
          <w:bCs/>
          <w:i/>
          <w:color w:val="000000"/>
          <w:sz w:val="24"/>
          <w:szCs w:val="24"/>
        </w:rPr>
        <w:t>: Patient-Specific Education Resources</w:t>
      </w:r>
      <w:r w:rsidR="00452BEA">
        <w:rPr>
          <w:rFonts w:ascii="Times New Roman" w:eastAsia="Times New Roman" w:hAnsi="Times New Roman" w:cs="Times New Roman"/>
          <w:bCs/>
          <w:color w:val="000000"/>
          <w:sz w:val="24"/>
          <w:szCs w:val="24"/>
        </w:rPr>
        <w:t>.</w:t>
      </w:r>
      <w:bookmarkEnd w:id="21"/>
      <w:bookmarkEnd w:id="18"/>
    </w:p>
    <w:p w14:paraId="6F7431F8" w14:textId="77777777" w:rsidR="00DA2437" w:rsidRDefault="00DA2437"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22" w:name="_Toc282615600"/>
    </w:p>
    <w:p w14:paraId="6F7431F9" w14:textId="77777777" w:rsidR="00831D3C" w:rsidRDefault="00113F4B"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23" w:name="_Toc284948713"/>
      <w:r>
        <w:rPr>
          <w:rFonts w:ascii="Times New Roman" w:eastAsia="Times New Roman" w:hAnsi="Times New Roman" w:cs="Times New Roman"/>
          <w:bCs/>
          <w:color w:val="000000"/>
          <w:sz w:val="24"/>
          <w:szCs w:val="24"/>
        </w:rPr>
        <w:t xml:space="preserve">The Associate found patient-specific education resources in two main locations on the </w:t>
      </w:r>
      <w:r w:rsidR="004C3676">
        <w:rPr>
          <w:rFonts w:ascii="Times New Roman" w:eastAsia="Times New Roman" w:hAnsi="Times New Roman" w:cs="Times New Roman"/>
          <w:bCs/>
          <w:color w:val="000000"/>
          <w:sz w:val="24"/>
          <w:szCs w:val="24"/>
        </w:rPr>
        <w:t xml:space="preserve">EHR vendor website: the </w:t>
      </w:r>
      <w:proofErr w:type="gramStart"/>
      <w:r w:rsidR="004C3676">
        <w:rPr>
          <w:rFonts w:ascii="Times New Roman" w:eastAsia="Times New Roman" w:hAnsi="Times New Roman" w:cs="Times New Roman"/>
          <w:bCs/>
          <w:color w:val="000000"/>
          <w:sz w:val="24"/>
          <w:szCs w:val="24"/>
        </w:rPr>
        <w:t>partners</w:t>
      </w:r>
      <w:proofErr w:type="gramEnd"/>
      <w:r w:rsidR="004C3676">
        <w:rPr>
          <w:rFonts w:ascii="Times New Roman" w:eastAsia="Times New Roman" w:hAnsi="Times New Roman" w:cs="Times New Roman"/>
          <w:bCs/>
          <w:color w:val="000000"/>
          <w:sz w:val="24"/>
          <w:szCs w:val="24"/>
        </w:rPr>
        <w:t xml:space="preserve"> page and </w:t>
      </w:r>
      <w:r w:rsidR="00D369E0">
        <w:rPr>
          <w:rFonts w:ascii="Times New Roman" w:eastAsia="Times New Roman" w:hAnsi="Times New Roman" w:cs="Times New Roman"/>
          <w:bCs/>
          <w:color w:val="000000"/>
          <w:sz w:val="24"/>
          <w:szCs w:val="24"/>
        </w:rPr>
        <w:t xml:space="preserve">the </w:t>
      </w:r>
      <w:r w:rsidR="004C3676">
        <w:rPr>
          <w:rFonts w:ascii="Times New Roman" w:eastAsia="Times New Roman" w:hAnsi="Times New Roman" w:cs="Times New Roman"/>
          <w:bCs/>
          <w:color w:val="000000"/>
          <w:sz w:val="24"/>
          <w:szCs w:val="24"/>
        </w:rPr>
        <w:t>certified product page</w:t>
      </w:r>
      <w:r w:rsidR="00612736">
        <w:rPr>
          <w:rFonts w:ascii="Times New Roman" w:eastAsia="Times New Roman" w:hAnsi="Times New Roman" w:cs="Times New Roman"/>
          <w:bCs/>
          <w:color w:val="000000"/>
          <w:sz w:val="24"/>
          <w:szCs w:val="24"/>
        </w:rPr>
        <w:t xml:space="preserve">. The Associate also found a couple </w:t>
      </w:r>
      <w:r w:rsidR="00D369E0">
        <w:rPr>
          <w:rFonts w:ascii="Times New Roman" w:eastAsia="Times New Roman" w:hAnsi="Times New Roman" w:cs="Times New Roman"/>
          <w:bCs/>
          <w:color w:val="000000"/>
          <w:sz w:val="24"/>
          <w:szCs w:val="24"/>
        </w:rPr>
        <w:t xml:space="preserve">of </w:t>
      </w:r>
      <w:r w:rsidR="00612736">
        <w:rPr>
          <w:rFonts w:ascii="Times New Roman" w:eastAsia="Times New Roman" w:hAnsi="Times New Roman" w:cs="Times New Roman"/>
          <w:bCs/>
          <w:color w:val="000000"/>
          <w:sz w:val="24"/>
          <w:szCs w:val="24"/>
        </w:rPr>
        <w:t xml:space="preserve">patient-specific education resources by viewing tutorials or demos. </w:t>
      </w:r>
      <w:r w:rsidR="004C3676">
        <w:rPr>
          <w:rFonts w:ascii="Times New Roman" w:eastAsia="Times New Roman" w:hAnsi="Times New Roman" w:cs="Times New Roman"/>
          <w:bCs/>
          <w:color w:val="000000"/>
          <w:sz w:val="24"/>
          <w:szCs w:val="24"/>
        </w:rPr>
        <w:t xml:space="preserve">The Associate first focused on only the certified product page but, after finding little information, expanded the search to the rest of the vendor website. The Associate made the assumption that if a patient-specific education resource provider was found on the vendor </w:t>
      </w:r>
      <w:r w:rsidR="00612736">
        <w:rPr>
          <w:rFonts w:ascii="Times New Roman" w:eastAsia="Times New Roman" w:hAnsi="Times New Roman" w:cs="Times New Roman"/>
          <w:bCs/>
          <w:color w:val="000000"/>
          <w:sz w:val="24"/>
          <w:szCs w:val="24"/>
        </w:rPr>
        <w:t xml:space="preserve">website, including the vendor’s </w:t>
      </w:r>
      <w:r w:rsidR="00612736">
        <w:rPr>
          <w:rFonts w:ascii="Times New Roman" w:eastAsia="Times New Roman" w:hAnsi="Times New Roman" w:cs="Times New Roman"/>
          <w:bCs/>
          <w:color w:val="000000"/>
          <w:sz w:val="24"/>
          <w:szCs w:val="24"/>
        </w:rPr>
        <w:lastRenderedPageBreak/>
        <w:t>partner page,</w:t>
      </w:r>
      <w:r w:rsidR="004C3676">
        <w:rPr>
          <w:rFonts w:ascii="Times New Roman" w:eastAsia="Times New Roman" w:hAnsi="Times New Roman" w:cs="Times New Roman"/>
          <w:bCs/>
          <w:color w:val="000000"/>
          <w:sz w:val="24"/>
          <w:szCs w:val="24"/>
        </w:rPr>
        <w:t xml:space="preserve"> then it was likely to be used within the ONC certified product. </w:t>
      </w:r>
      <w:r w:rsidR="00612736">
        <w:rPr>
          <w:rFonts w:ascii="Times New Roman" w:eastAsia="Times New Roman" w:hAnsi="Times New Roman" w:cs="Times New Roman"/>
          <w:bCs/>
          <w:color w:val="000000"/>
          <w:sz w:val="24"/>
          <w:szCs w:val="24"/>
        </w:rPr>
        <w:t>Because of this assumption and the fact that not all education resources were found on the certified product’s website, the</w:t>
      </w:r>
      <w:r w:rsidR="004C3676">
        <w:rPr>
          <w:rFonts w:ascii="Times New Roman" w:eastAsia="Times New Roman" w:hAnsi="Times New Roman" w:cs="Times New Roman"/>
          <w:bCs/>
          <w:color w:val="000000"/>
          <w:sz w:val="24"/>
          <w:szCs w:val="24"/>
        </w:rPr>
        <w:t xml:space="preserve"> information should be interpreted cautiously. The Associate noted in the spreadsheet if the information was found on the certified product page or if it was </w:t>
      </w:r>
      <w:r w:rsidR="00D369E0">
        <w:rPr>
          <w:rFonts w:ascii="Times New Roman" w:eastAsia="Times New Roman" w:hAnsi="Times New Roman" w:cs="Times New Roman"/>
          <w:bCs/>
          <w:color w:val="000000"/>
          <w:sz w:val="24"/>
          <w:szCs w:val="24"/>
        </w:rPr>
        <w:t xml:space="preserve">found on a partner page or tutorial, and therefore assumed to be </w:t>
      </w:r>
      <w:r w:rsidR="004C3676">
        <w:rPr>
          <w:rFonts w:ascii="Times New Roman" w:eastAsia="Times New Roman" w:hAnsi="Times New Roman" w:cs="Times New Roman"/>
          <w:bCs/>
          <w:color w:val="000000"/>
          <w:sz w:val="24"/>
          <w:szCs w:val="24"/>
        </w:rPr>
        <w:t>applicable vendor wide</w:t>
      </w:r>
      <w:r w:rsidR="00D369E0">
        <w:rPr>
          <w:rFonts w:ascii="Times New Roman" w:eastAsia="Times New Roman" w:hAnsi="Times New Roman" w:cs="Times New Roman"/>
          <w:bCs/>
          <w:color w:val="000000"/>
          <w:sz w:val="24"/>
          <w:szCs w:val="24"/>
        </w:rPr>
        <w:t>.</w:t>
      </w:r>
      <w:r w:rsidR="004C3676">
        <w:rPr>
          <w:rFonts w:ascii="Times New Roman" w:eastAsia="Times New Roman" w:hAnsi="Times New Roman" w:cs="Times New Roman"/>
          <w:bCs/>
          <w:color w:val="000000"/>
          <w:sz w:val="24"/>
          <w:szCs w:val="24"/>
        </w:rPr>
        <w:t xml:space="preserve"> </w:t>
      </w:r>
      <w:r w:rsidR="00831D3C">
        <w:rPr>
          <w:rFonts w:ascii="Times New Roman" w:eastAsia="Times New Roman" w:hAnsi="Times New Roman" w:cs="Times New Roman"/>
          <w:bCs/>
          <w:color w:val="000000"/>
          <w:sz w:val="24"/>
          <w:szCs w:val="24"/>
        </w:rPr>
        <w:t xml:space="preserve">The majority of information about patient-specific education resources </w:t>
      </w:r>
      <w:r w:rsidR="0061686F">
        <w:rPr>
          <w:rFonts w:ascii="Times New Roman" w:eastAsia="Times New Roman" w:hAnsi="Times New Roman" w:cs="Times New Roman"/>
          <w:bCs/>
          <w:color w:val="000000"/>
          <w:sz w:val="24"/>
          <w:szCs w:val="24"/>
        </w:rPr>
        <w:t>was</w:t>
      </w:r>
      <w:r w:rsidR="00831D3C">
        <w:rPr>
          <w:rFonts w:ascii="Times New Roman" w:eastAsia="Times New Roman" w:hAnsi="Times New Roman" w:cs="Times New Roman"/>
          <w:bCs/>
          <w:color w:val="000000"/>
          <w:sz w:val="24"/>
          <w:szCs w:val="24"/>
        </w:rPr>
        <w:t xml:space="preserve"> found within the list of each EHR vendor’s partners. </w:t>
      </w:r>
      <w:r w:rsidR="00D369E0">
        <w:rPr>
          <w:rFonts w:ascii="Times New Roman" w:eastAsia="Times New Roman" w:hAnsi="Times New Roman" w:cs="Times New Roman"/>
          <w:bCs/>
          <w:color w:val="000000"/>
          <w:sz w:val="24"/>
          <w:szCs w:val="24"/>
        </w:rPr>
        <w:t>The resources were o</w:t>
      </w:r>
      <w:r w:rsidR="00831D3C">
        <w:rPr>
          <w:rFonts w:ascii="Times New Roman" w:eastAsia="Times New Roman" w:hAnsi="Times New Roman" w:cs="Times New Roman"/>
          <w:bCs/>
          <w:color w:val="000000"/>
          <w:sz w:val="24"/>
          <w:szCs w:val="24"/>
        </w:rPr>
        <w:t xml:space="preserve">ften listed as content partners but </w:t>
      </w:r>
      <w:r w:rsidR="00D369E0">
        <w:rPr>
          <w:rFonts w:ascii="Times New Roman" w:eastAsia="Times New Roman" w:hAnsi="Times New Roman" w:cs="Times New Roman"/>
          <w:bCs/>
          <w:color w:val="000000"/>
          <w:sz w:val="24"/>
          <w:szCs w:val="24"/>
        </w:rPr>
        <w:t xml:space="preserve">were </w:t>
      </w:r>
      <w:r w:rsidR="00831D3C">
        <w:rPr>
          <w:rFonts w:ascii="Times New Roman" w:eastAsia="Times New Roman" w:hAnsi="Times New Roman" w:cs="Times New Roman"/>
          <w:bCs/>
          <w:color w:val="000000"/>
          <w:sz w:val="24"/>
          <w:szCs w:val="24"/>
        </w:rPr>
        <w:t xml:space="preserve">frequently found within a long list of technical, reseller, and content partners. </w:t>
      </w:r>
      <w:r w:rsidR="00612736">
        <w:rPr>
          <w:rFonts w:ascii="Times New Roman" w:eastAsia="Times New Roman" w:hAnsi="Times New Roman" w:cs="Times New Roman"/>
          <w:bCs/>
          <w:color w:val="000000"/>
          <w:sz w:val="24"/>
          <w:szCs w:val="24"/>
        </w:rPr>
        <w:t>As noted above, the Associate found some i</w:t>
      </w:r>
      <w:r w:rsidR="00831D3C">
        <w:rPr>
          <w:rFonts w:ascii="Times New Roman" w:eastAsia="Times New Roman" w:hAnsi="Times New Roman" w:cs="Times New Roman"/>
          <w:bCs/>
          <w:color w:val="000000"/>
          <w:sz w:val="24"/>
          <w:szCs w:val="24"/>
        </w:rPr>
        <w:t xml:space="preserve">nformation, </w:t>
      </w:r>
      <w:r w:rsidR="004B6BAD">
        <w:rPr>
          <w:rFonts w:ascii="Times New Roman" w:eastAsia="Times New Roman" w:hAnsi="Times New Roman" w:cs="Times New Roman"/>
          <w:bCs/>
          <w:color w:val="000000"/>
          <w:sz w:val="24"/>
          <w:szCs w:val="24"/>
        </w:rPr>
        <w:t>often</w:t>
      </w:r>
      <w:r w:rsidR="00831D3C">
        <w:rPr>
          <w:rFonts w:ascii="Times New Roman" w:eastAsia="Times New Roman" w:hAnsi="Times New Roman" w:cs="Times New Roman"/>
          <w:bCs/>
          <w:color w:val="000000"/>
          <w:sz w:val="24"/>
          <w:szCs w:val="24"/>
        </w:rPr>
        <w:t xml:space="preserve"> less frequently, through </w:t>
      </w:r>
      <w:r w:rsidR="00612736">
        <w:rPr>
          <w:rFonts w:ascii="Times New Roman" w:eastAsia="Times New Roman" w:hAnsi="Times New Roman" w:cs="Times New Roman"/>
          <w:bCs/>
          <w:color w:val="000000"/>
          <w:sz w:val="24"/>
          <w:szCs w:val="24"/>
        </w:rPr>
        <w:t xml:space="preserve">certified </w:t>
      </w:r>
      <w:r w:rsidR="00831D3C">
        <w:rPr>
          <w:rFonts w:ascii="Times New Roman" w:eastAsia="Times New Roman" w:hAnsi="Times New Roman" w:cs="Times New Roman"/>
          <w:bCs/>
          <w:color w:val="000000"/>
          <w:sz w:val="24"/>
          <w:szCs w:val="24"/>
        </w:rPr>
        <w:t>product demos or the EHR informational website pages.</w:t>
      </w:r>
      <w:bookmarkEnd w:id="23"/>
      <w:r w:rsidR="00831D3C">
        <w:rPr>
          <w:rFonts w:ascii="Times New Roman" w:eastAsia="Times New Roman" w:hAnsi="Times New Roman" w:cs="Times New Roman"/>
          <w:bCs/>
          <w:color w:val="000000"/>
          <w:sz w:val="24"/>
          <w:szCs w:val="24"/>
        </w:rPr>
        <w:t xml:space="preserve"> </w:t>
      </w:r>
      <w:bookmarkEnd w:id="22"/>
    </w:p>
    <w:p w14:paraId="6F7431FA" w14:textId="77777777" w:rsidR="00DA2437" w:rsidRDefault="00DA2437"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24" w:name="_Toc282615601"/>
      <w:bookmarkStart w:id="25" w:name="_Toc282583178"/>
    </w:p>
    <w:p w14:paraId="6F7431FB" w14:textId="77777777" w:rsidR="00CA041D" w:rsidRDefault="00A90112" w:rsidP="00A50BCF">
      <w:pPr>
        <w:spacing w:before="100" w:beforeAutospacing="1" w:after="100" w:afterAutospacing="1" w:line="360" w:lineRule="auto"/>
        <w:contextualSpacing/>
        <w:outlineLvl w:val="1"/>
        <w:rPr>
          <w:rFonts w:ascii="Times New Roman" w:eastAsia="Times New Roman" w:hAnsi="Times New Roman" w:cs="Times New Roman"/>
          <w:bCs/>
          <w:color w:val="000000"/>
          <w:sz w:val="24"/>
          <w:szCs w:val="24"/>
        </w:rPr>
      </w:pPr>
      <w:bookmarkStart w:id="26" w:name="_Toc284948714"/>
      <w:r>
        <w:rPr>
          <w:rFonts w:ascii="Times New Roman" w:eastAsia="Times New Roman" w:hAnsi="Times New Roman" w:cs="Times New Roman"/>
          <w:bCs/>
          <w:color w:val="000000"/>
          <w:sz w:val="24"/>
          <w:szCs w:val="24"/>
        </w:rPr>
        <w:t xml:space="preserve">The project team prioritized and sorted the final list of EHR vendors according to their frequency within the </w:t>
      </w:r>
      <w:r w:rsidR="00CA041D">
        <w:rPr>
          <w:rFonts w:ascii="Times New Roman" w:eastAsia="Times New Roman" w:hAnsi="Times New Roman" w:cs="Times New Roman"/>
          <w:bCs/>
          <w:color w:val="000000"/>
          <w:sz w:val="24"/>
          <w:szCs w:val="24"/>
        </w:rPr>
        <w:t xml:space="preserve">Brown-Wilson Group’s Black Book Rankings of top EMR vendors from 2011. </w:t>
      </w:r>
      <w:r w:rsidR="00EA5C0C">
        <w:rPr>
          <w:rFonts w:ascii="Times New Roman" w:eastAsia="Times New Roman" w:hAnsi="Times New Roman" w:cs="Times New Roman"/>
          <w:bCs/>
          <w:color w:val="000000"/>
          <w:sz w:val="24"/>
          <w:szCs w:val="24"/>
        </w:rPr>
        <w:t xml:space="preserve">Additionally, the </w:t>
      </w:r>
      <w:r>
        <w:rPr>
          <w:rFonts w:ascii="Times New Roman" w:eastAsia="Times New Roman" w:hAnsi="Times New Roman" w:cs="Times New Roman"/>
          <w:bCs/>
          <w:color w:val="000000"/>
          <w:sz w:val="24"/>
          <w:szCs w:val="24"/>
        </w:rPr>
        <w:t xml:space="preserve">Associate categorized EHR vendors by the practice or hospital size frequencies noted in the </w:t>
      </w:r>
      <w:r w:rsidR="00EA5C0C">
        <w:rPr>
          <w:rFonts w:ascii="Times New Roman" w:eastAsia="Times New Roman" w:hAnsi="Times New Roman" w:cs="Times New Roman"/>
          <w:bCs/>
          <w:color w:val="000000"/>
          <w:sz w:val="24"/>
          <w:szCs w:val="24"/>
        </w:rPr>
        <w:t>Black Book Rankings.</w:t>
      </w:r>
      <w:r>
        <w:rPr>
          <w:rFonts w:ascii="Times New Roman" w:eastAsia="Times New Roman" w:hAnsi="Times New Roman" w:cs="Times New Roman"/>
          <w:bCs/>
          <w:color w:val="000000"/>
          <w:sz w:val="24"/>
          <w:szCs w:val="24"/>
        </w:rPr>
        <w:t xml:space="preserve"> The categorizations are </w:t>
      </w:r>
      <w:r w:rsidR="00612736">
        <w:rPr>
          <w:rFonts w:ascii="Times New Roman" w:eastAsia="Times New Roman" w:hAnsi="Times New Roman" w:cs="Times New Roman"/>
          <w:bCs/>
          <w:color w:val="000000"/>
          <w:sz w:val="24"/>
          <w:szCs w:val="24"/>
        </w:rPr>
        <w:t xml:space="preserve">defined and listed under “Market List Categories” </w:t>
      </w:r>
      <w:r>
        <w:rPr>
          <w:rFonts w:ascii="Times New Roman" w:eastAsia="Times New Roman" w:hAnsi="Times New Roman" w:cs="Times New Roman"/>
          <w:bCs/>
          <w:color w:val="000000"/>
          <w:sz w:val="24"/>
          <w:szCs w:val="24"/>
        </w:rPr>
        <w:t xml:space="preserve">in </w:t>
      </w:r>
      <w:r w:rsidR="006C4175" w:rsidRPr="007502C9">
        <w:rPr>
          <w:rFonts w:ascii="Times New Roman" w:eastAsia="Times New Roman" w:hAnsi="Times New Roman" w:cs="Times New Roman"/>
          <w:bCs/>
          <w:i/>
          <w:color w:val="000000"/>
          <w:sz w:val="24"/>
          <w:szCs w:val="24"/>
        </w:rPr>
        <w:t>Appendix C</w:t>
      </w:r>
      <w:r w:rsidRPr="007502C9">
        <w:rPr>
          <w:rFonts w:ascii="Times New Roman" w:eastAsia="Times New Roman" w:hAnsi="Times New Roman" w:cs="Times New Roman"/>
          <w:bCs/>
          <w:i/>
          <w:color w:val="000000"/>
          <w:sz w:val="24"/>
          <w:szCs w:val="24"/>
        </w:rPr>
        <w:t>:</w:t>
      </w:r>
      <w:r w:rsidR="006C4175" w:rsidRPr="007502C9">
        <w:rPr>
          <w:rFonts w:ascii="Times New Roman" w:eastAsia="Times New Roman" w:hAnsi="Times New Roman" w:cs="Times New Roman"/>
          <w:bCs/>
          <w:i/>
          <w:color w:val="000000"/>
          <w:sz w:val="24"/>
          <w:szCs w:val="24"/>
        </w:rPr>
        <w:t xml:space="preserve"> Fields and Definitions for EHR Spreadsheet</w:t>
      </w:r>
      <w:r w:rsidRPr="007502C9">
        <w:rPr>
          <w:rFonts w:ascii="Times New Roman" w:eastAsia="Times New Roman" w:hAnsi="Times New Roman" w:cs="Times New Roman"/>
          <w:bCs/>
          <w:color w:val="000000"/>
          <w:sz w:val="24"/>
          <w:szCs w:val="24"/>
        </w:rPr>
        <w:t>.</w:t>
      </w:r>
      <w:r w:rsidR="00EA5C0C">
        <w:rPr>
          <w:rFonts w:ascii="Times New Roman" w:eastAsia="Times New Roman" w:hAnsi="Times New Roman" w:cs="Times New Roman"/>
          <w:bCs/>
          <w:color w:val="000000"/>
          <w:sz w:val="24"/>
          <w:szCs w:val="24"/>
        </w:rPr>
        <w:t xml:space="preserve"> Th</w:t>
      </w:r>
      <w:r>
        <w:rPr>
          <w:rFonts w:ascii="Times New Roman" w:eastAsia="Times New Roman" w:hAnsi="Times New Roman" w:cs="Times New Roman"/>
          <w:bCs/>
          <w:color w:val="000000"/>
          <w:sz w:val="24"/>
          <w:szCs w:val="24"/>
        </w:rPr>
        <w:t>e</w:t>
      </w:r>
      <w:r w:rsidR="00EA5C0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incorporation of this information </w:t>
      </w:r>
      <w:r w:rsidR="00EA5C0C">
        <w:rPr>
          <w:rFonts w:ascii="Times New Roman" w:eastAsia="Times New Roman" w:hAnsi="Times New Roman" w:cs="Times New Roman"/>
          <w:bCs/>
          <w:color w:val="000000"/>
          <w:sz w:val="24"/>
          <w:szCs w:val="24"/>
        </w:rPr>
        <w:t xml:space="preserve">into the </w:t>
      </w:r>
      <w:r>
        <w:rPr>
          <w:rFonts w:ascii="Times New Roman" w:eastAsia="Times New Roman" w:hAnsi="Times New Roman" w:cs="Times New Roman"/>
          <w:bCs/>
          <w:color w:val="000000"/>
          <w:sz w:val="24"/>
          <w:szCs w:val="24"/>
        </w:rPr>
        <w:t xml:space="preserve">spreadsheet allows </w:t>
      </w:r>
      <w:r w:rsidR="00EA5C0C">
        <w:rPr>
          <w:rFonts w:ascii="Times New Roman" w:eastAsia="Times New Roman" w:hAnsi="Times New Roman" w:cs="Times New Roman"/>
          <w:bCs/>
          <w:color w:val="000000"/>
          <w:sz w:val="24"/>
          <w:szCs w:val="24"/>
        </w:rPr>
        <w:t>for future manipulation and sorting</w:t>
      </w:r>
      <w:r w:rsidR="00355443">
        <w:rPr>
          <w:rFonts w:ascii="Times New Roman" w:eastAsia="Times New Roman" w:hAnsi="Times New Roman" w:cs="Times New Roman"/>
          <w:bCs/>
          <w:color w:val="000000"/>
          <w:sz w:val="24"/>
          <w:szCs w:val="24"/>
        </w:rPr>
        <w:t xml:space="preserve">, based on </w:t>
      </w:r>
      <w:r w:rsidR="00EA5C0C">
        <w:rPr>
          <w:rFonts w:ascii="Times New Roman" w:eastAsia="Times New Roman" w:hAnsi="Times New Roman" w:cs="Times New Roman"/>
          <w:bCs/>
          <w:color w:val="000000"/>
          <w:sz w:val="24"/>
          <w:szCs w:val="24"/>
        </w:rPr>
        <w:t xml:space="preserve">data frequency within the Black Book Ranking list or the size of practice or hospital. </w:t>
      </w:r>
      <w:r>
        <w:rPr>
          <w:rFonts w:ascii="Times New Roman" w:eastAsia="Times New Roman" w:hAnsi="Times New Roman" w:cs="Times New Roman"/>
          <w:bCs/>
          <w:color w:val="000000"/>
          <w:sz w:val="24"/>
          <w:szCs w:val="24"/>
        </w:rPr>
        <w:t>Vendors</w:t>
      </w:r>
      <w:r w:rsidR="00E81C93">
        <w:rPr>
          <w:rFonts w:ascii="Times New Roman" w:eastAsia="Times New Roman" w:hAnsi="Times New Roman" w:cs="Times New Roman"/>
          <w:bCs/>
          <w:color w:val="000000"/>
          <w:sz w:val="24"/>
          <w:szCs w:val="24"/>
        </w:rPr>
        <w:t xml:space="preserve"> not mentioned on the Black Book Ranking received a frequency of 0 and 0’s in each category of practice and hospital sizes.</w:t>
      </w:r>
      <w:bookmarkEnd w:id="24"/>
      <w:bookmarkEnd w:id="26"/>
      <w:r w:rsidR="00E81C93">
        <w:rPr>
          <w:rFonts w:ascii="Times New Roman" w:eastAsia="Times New Roman" w:hAnsi="Times New Roman" w:cs="Times New Roman"/>
          <w:bCs/>
          <w:color w:val="000000"/>
          <w:sz w:val="24"/>
          <w:szCs w:val="24"/>
        </w:rPr>
        <w:t xml:space="preserve"> </w:t>
      </w:r>
      <w:bookmarkEnd w:id="25"/>
    </w:p>
    <w:p w14:paraId="6F7431FC" w14:textId="77777777" w:rsidR="001D4E0C" w:rsidRPr="002B7283" w:rsidRDefault="00A34628" w:rsidP="002B7283">
      <w:pPr>
        <w:pStyle w:val="Heading1"/>
        <w:rPr>
          <w:color w:val="auto"/>
        </w:rPr>
      </w:pPr>
      <w:bookmarkStart w:id="27" w:name="_Toc284948715"/>
      <w:r w:rsidRPr="002B7283">
        <w:rPr>
          <w:color w:val="auto"/>
        </w:rPr>
        <w:t>Results</w:t>
      </w:r>
      <w:bookmarkEnd w:id="27"/>
    </w:p>
    <w:p w14:paraId="6F7431FD" w14:textId="77777777" w:rsidR="00DA2437" w:rsidRPr="00DA2437" w:rsidRDefault="00DA2437" w:rsidP="00F1758F">
      <w:pPr>
        <w:spacing w:line="360" w:lineRule="auto"/>
        <w:contextualSpacing/>
        <w:rPr>
          <w:rFonts w:ascii="Times New Roman" w:eastAsiaTheme="majorEastAsia" w:hAnsi="Times New Roman" w:cs="Times New Roman"/>
          <w:b/>
          <w:bCs/>
          <w:color w:val="365F91" w:themeColor="accent1" w:themeShade="BF"/>
          <w:sz w:val="24"/>
          <w:szCs w:val="24"/>
        </w:rPr>
      </w:pPr>
    </w:p>
    <w:p w14:paraId="6F7431FE" w14:textId="77777777" w:rsidR="008477FA" w:rsidRDefault="00E00CE1" w:rsidP="00F1758F">
      <w:pPr>
        <w:spacing w:line="360" w:lineRule="auto"/>
        <w:contextualSpacing/>
        <w:rPr>
          <w:rFonts w:ascii="Times New Roman" w:hAnsi="Times New Roman" w:cs="Times New Roman"/>
          <w:sz w:val="24"/>
          <w:szCs w:val="24"/>
        </w:rPr>
      </w:pPr>
      <w:r w:rsidRPr="00E00CE1">
        <w:rPr>
          <w:rFonts w:ascii="Times New Roman" w:hAnsi="Times New Roman" w:cs="Times New Roman"/>
          <w:sz w:val="24"/>
          <w:szCs w:val="24"/>
        </w:rPr>
        <w:t xml:space="preserve">Out of the 104 </w:t>
      </w:r>
      <w:r w:rsidR="004B6BAD">
        <w:rPr>
          <w:rFonts w:ascii="Times New Roman" w:hAnsi="Times New Roman" w:cs="Times New Roman"/>
          <w:sz w:val="24"/>
          <w:szCs w:val="24"/>
        </w:rPr>
        <w:t xml:space="preserve">total </w:t>
      </w:r>
      <w:r w:rsidR="008477FA">
        <w:rPr>
          <w:rFonts w:ascii="Times New Roman" w:hAnsi="Times New Roman" w:cs="Times New Roman"/>
          <w:sz w:val="24"/>
          <w:szCs w:val="24"/>
        </w:rPr>
        <w:t xml:space="preserve">EHR </w:t>
      </w:r>
      <w:r w:rsidRPr="00E00CE1">
        <w:rPr>
          <w:rFonts w:ascii="Times New Roman" w:hAnsi="Times New Roman" w:cs="Times New Roman"/>
          <w:sz w:val="24"/>
          <w:szCs w:val="24"/>
        </w:rPr>
        <w:t xml:space="preserve">products </w:t>
      </w:r>
      <w:r w:rsidR="00031A02">
        <w:rPr>
          <w:rFonts w:ascii="Times New Roman" w:hAnsi="Times New Roman" w:cs="Times New Roman"/>
          <w:sz w:val="24"/>
          <w:szCs w:val="24"/>
        </w:rPr>
        <w:t>included in this analysis</w:t>
      </w:r>
      <w:r w:rsidRPr="00E00CE1">
        <w:rPr>
          <w:rFonts w:ascii="Times New Roman" w:hAnsi="Times New Roman" w:cs="Times New Roman"/>
          <w:sz w:val="24"/>
          <w:szCs w:val="24"/>
        </w:rPr>
        <w:t>, 83 (80%) met 170.302(m) certification criteria.</w:t>
      </w:r>
      <w:r w:rsidR="00584068">
        <w:rPr>
          <w:rFonts w:ascii="Times New Roman" w:hAnsi="Times New Roman" w:cs="Times New Roman"/>
          <w:sz w:val="24"/>
          <w:szCs w:val="24"/>
        </w:rPr>
        <w:t xml:space="preserve"> </w:t>
      </w:r>
      <w:r w:rsidR="008477FA">
        <w:rPr>
          <w:rFonts w:ascii="Times New Roman" w:hAnsi="Times New Roman" w:cs="Times New Roman"/>
          <w:sz w:val="24"/>
          <w:szCs w:val="24"/>
        </w:rPr>
        <w:t>This number</w:t>
      </w:r>
      <w:r w:rsidRPr="00E00CE1">
        <w:rPr>
          <w:rFonts w:ascii="Times New Roman" w:hAnsi="Times New Roman" w:cs="Times New Roman"/>
          <w:sz w:val="24"/>
          <w:szCs w:val="24"/>
        </w:rPr>
        <w:t xml:space="preserve"> </w:t>
      </w:r>
      <w:r w:rsidR="008477FA">
        <w:rPr>
          <w:rFonts w:ascii="Times New Roman" w:hAnsi="Times New Roman" w:cs="Times New Roman"/>
          <w:sz w:val="24"/>
          <w:szCs w:val="24"/>
        </w:rPr>
        <w:t>includes six products added</w:t>
      </w:r>
      <w:r w:rsidR="009E0115" w:rsidRPr="00E00CE1">
        <w:rPr>
          <w:rFonts w:ascii="Times New Roman" w:hAnsi="Times New Roman" w:cs="Times New Roman"/>
          <w:sz w:val="24"/>
          <w:szCs w:val="24"/>
        </w:rPr>
        <w:t xml:space="preserve"> </w:t>
      </w:r>
      <w:r w:rsidR="008477FA">
        <w:rPr>
          <w:rFonts w:ascii="Times New Roman" w:hAnsi="Times New Roman" w:cs="Times New Roman"/>
          <w:sz w:val="24"/>
          <w:szCs w:val="24"/>
        </w:rPr>
        <w:t xml:space="preserve">on </w:t>
      </w:r>
      <w:r w:rsidR="00582109">
        <w:rPr>
          <w:rFonts w:ascii="Times New Roman" w:hAnsi="Times New Roman" w:cs="Times New Roman"/>
          <w:sz w:val="24"/>
          <w:szCs w:val="24"/>
        </w:rPr>
        <w:t xml:space="preserve">December 27, 2010 </w:t>
      </w:r>
      <w:r w:rsidR="00831D3C">
        <w:rPr>
          <w:rFonts w:ascii="Times New Roman" w:hAnsi="Times New Roman" w:cs="Times New Roman"/>
          <w:sz w:val="24"/>
          <w:szCs w:val="24"/>
        </w:rPr>
        <w:t xml:space="preserve">after an analysis of Black Book vendor frequencies and supervisory input. </w:t>
      </w:r>
      <w:r w:rsidR="00582109">
        <w:rPr>
          <w:rFonts w:ascii="Times New Roman" w:hAnsi="Times New Roman" w:cs="Times New Roman"/>
          <w:sz w:val="24"/>
          <w:szCs w:val="24"/>
        </w:rPr>
        <w:t xml:space="preserve">These six products therefore reflect </w:t>
      </w:r>
      <w:r w:rsidR="008477FA">
        <w:rPr>
          <w:rFonts w:ascii="Times New Roman" w:hAnsi="Times New Roman" w:cs="Times New Roman"/>
          <w:sz w:val="24"/>
          <w:szCs w:val="24"/>
        </w:rPr>
        <w:t xml:space="preserve">ONC CHPL data </w:t>
      </w:r>
      <w:r w:rsidR="00582109">
        <w:rPr>
          <w:rFonts w:ascii="Times New Roman" w:hAnsi="Times New Roman" w:cs="Times New Roman"/>
          <w:sz w:val="24"/>
          <w:szCs w:val="24"/>
        </w:rPr>
        <w:t xml:space="preserve">that is </w:t>
      </w:r>
      <w:r w:rsidR="00BE2BB9">
        <w:rPr>
          <w:rFonts w:ascii="Times New Roman" w:hAnsi="Times New Roman" w:cs="Times New Roman"/>
          <w:sz w:val="24"/>
          <w:szCs w:val="24"/>
        </w:rPr>
        <w:t xml:space="preserve">slightly </w:t>
      </w:r>
      <w:r w:rsidR="00582109">
        <w:rPr>
          <w:rFonts w:ascii="Times New Roman" w:hAnsi="Times New Roman" w:cs="Times New Roman"/>
          <w:sz w:val="24"/>
          <w:szCs w:val="24"/>
        </w:rPr>
        <w:t xml:space="preserve">different from the initial November 12, 2010 collection. The </w:t>
      </w:r>
      <w:r w:rsidR="009E0115" w:rsidRPr="00E00CE1">
        <w:rPr>
          <w:rFonts w:ascii="Times New Roman" w:hAnsi="Times New Roman" w:cs="Times New Roman"/>
          <w:sz w:val="24"/>
          <w:szCs w:val="24"/>
        </w:rPr>
        <w:t xml:space="preserve">six </w:t>
      </w:r>
      <w:r w:rsidR="008477FA">
        <w:rPr>
          <w:rFonts w:ascii="Times New Roman" w:hAnsi="Times New Roman" w:cs="Times New Roman"/>
          <w:sz w:val="24"/>
          <w:szCs w:val="24"/>
        </w:rPr>
        <w:t>additional products</w:t>
      </w:r>
      <w:r w:rsidR="009E0115" w:rsidRPr="00E00CE1">
        <w:rPr>
          <w:rFonts w:ascii="Times New Roman" w:hAnsi="Times New Roman" w:cs="Times New Roman"/>
          <w:sz w:val="24"/>
          <w:szCs w:val="24"/>
        </w:rPr>
        <w:t xml:space="preserve"> include: Paragon, Practice Partner, </w:t>
      </w:r>
      <w:proofErr w:type="spellStart"/>
      <w:r w:rsidR="009E0115" w:rsidRPr="00E00CE1">
        <w:rPr>
          <w:rFonts w:ascii="Times New Roman" w:hAnsi="Times New Roman" w:cs="Times New Roman"/>
          <w:sz w:val="24"/>
          <w:szCs w:val="24"/>
        </w:rPr>
        <w:t>Medisoft</w:t>
      </w:r>
      <w:proofErr w:type="spellEnd"/>
      <w:r w:rsidR="009E0115" w:rsidRPr="00E00CE1">
        <w:rPr>
          <w:rFonts w:ascii="Times New Roman" w:hAnsi="Times New Roman" w:cs="Times New Roman"/>
          <w:sz w:val="24"/>
          <w:szCs w:val="24"/>
        </w:rPr>
        <w:t xml:space="preserve"> Clinical, and </w:t>
      </w:r>
      <w:proofErr w:type="spellStart"/>
      <w:r w:rsidR="009E0115" w:rsidRPr="00E00CE1">
        <w:rPr>
          <w:rFonts w:ascii="Times New Roman" w:hAnsi="Times New Roman" w:cs="Times New Roman"/>
          <w:sz w:val="24"/>
          <w:szCs w:val="24"/>
        </w:rPr>
        <w:t>Lytec</w:t>
      </w:r>
      <w:proofErr w:type="spellEnd"/>
      <w:r w:rsidR="009E0115" w:rsidRPr="00E00CE1">
        <w:rPr>
          <w:rFonts w:ascii="Times New Roman" w:hAnsi="Times New Roman" w:cs="Times New Roman"/>
          <w:sz w:val="24"/>
          <w:szCs w:val="24"/>
        </w:rPr>
        <w:t xml:space="preserve"> from McKesson; Abraxas EMR from Abraxas; and </w:t>
      </w:r>
      <w:proofErr w:type="spellStart"/>
      <w:r w:rsidR="009E0115" w:rsidRPr="00E00CE1">
        <w:rPr>
          <w:rFonts w:ascii="Times New Roman" w:hAnsi="Times New Roman" w:cs="Times New Roman"/>
          <w:sz w:val="24"/>
          <w:szCs w:val="24"/>
        </w:rPr>
        <w:t>AllScripts</w:t>
      </w:r>
      <w:proofErr w:type="spellEnd"/>
      <w:r w:rsidR="009E0115" w:rsidRPr="00E00CE1">
        <w:rPr>
          <w:rFonts w:ascii="Times New Roman" w:hAnsi="Times New Roman" w:cs="Times New Roman"/>
          <w:sz w:val="24"/>
          <w:szCs w:val="24"/>
        </w:rPr>
        <w:t xml:space="preserve"> </w:t>
      </w:r>
      <w:proofErr w:type="spellStart"/>
      <w:r w:rsidR="009E0115" w:rsidRPr="00E00CE1">
        <w:rPr>
          <w:rFonts w:ascii="Times New Roman" w:hAnsi="Times New Roman" w:cs="Times New Roman"/>
          <w:sz w:val="24"/>
          <w:szCs w:val="24"/>
        </w:rPr>
        <w:t>MyWay</w:t>
      </w:r>
      <w:proofErr w:type="spellEnd"/>
      <w:r w:rsidR="009E0115" w:rsidRPr="00E00CE1">
        <w:rPr>
          <w:rFonts w:ascii="Times New Roman" w:hAnsi="Times New Roman" w:cs="Times New Roman"/>
          <w:sz w:val="24"/>
          <w:szCs w:val="24"/>
        </w:rPr>
        <w:t xml:space="preserve"> from </w:t>
      </w:r>
      <w:proofErr w:type="spellStart"/>
      <w:r w:rsidR="009E0115" w:rsidRPr="00E00CE1">
        <w:rPr>
          <w:rFonts w:ascii="Times New Roman" w:hAnsi="Times New Roman" w:cs="Times New Roman"/>
          <w:sz w:val="24"/>
          <w:szCs w:val="24"/>
        </w:rPr>
        <w:t>AllScripts</w:t>
      </w:r>
      <w:proofErr w:type="spellEnd"/>
      <w:r w:rsidR="009E0115" w:rsidRPr="00E00CE1">
        <w:rPr>
          <w:rFonts w:ascii="Times New Roman" w:hAnsi="Times New Roman" w:cs="Times New Roman"/>
          <w:sz w:val="24"/>
          <w:szCs w:val="24"/>
        </w:rPr>
        <w:t xml:space="preserve">. </w:t>
      </w:r>
      <w:r w:rsidR="00831D3C">
        <w:rPr>
          <w:rFonts w:ascii="Times New Roman" w:hAnsi="Times New Roman" w:cs="Times New Roman"/>
          <w:sz w:val="24"/>
          <w:szCs w:val="24"/>
        </w:rPr>
        <w:t xml:space="preserve">Each of these products has a different date in the </w:t>
      </w:r>
      <w:r w:rsidR="006B5495">
        <w:rPr>
          <w:rFonts w:ascii="Times New Roman" w:hAnsi="Times New Roman" w:cs="Times New Roman"/>
          <w:sz w:val="24"/>
          <w:szCs w:val="24"/>
        </w:rPr>
        <w:t xml:space="preserve">“Date Accessed from ONC” field. </w:t>
      </w:r>
    </w:p>
    <w:p w14:paraId="6F7431FF" w14:textId="77777777" w:rsidR="00DA2437" w:rsidRDefault="00DA2437" w:rsidP="00F1758F">
      <w:pPr>
        <w:spacing w:line="360" w:lineRule="auto"/>
        <w:contextualSpacing/>
        <w:rPr>
          <w:rFonts w:ascii="Times New Roman" w:hAnsi="Times New Roman" w:cs="Times New Roman"/>
          <w:sz w:val="24"/>
          <w:szCs w:val="24"/>
        </w:rPr>
      </w:pPr>
    </w:p>
    <w:p w14:paraId="6F743200" w14:textId="77777777" w:rsidR="00E81C93" w:rsidRPr="00E00CE1" w:rsidRDefault="00584068" w:rsidP="00F1758F">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addition, 88 unique </w:t>
      </w:r>
      <w:r w:rsidR="00D369E0">
        <w:rPr>
          <w:rFonts w:ascii="Times New Roman" w:hAnsi="Times New Roman" w:cs="Times New Roman"/>
          <w:sz w:val="24"/>
          <w:szCs w:val="24"/>
        </w:rPr>
        <w:t xml:space="preserve">EHR </w:t>
      </w:r>
      <w:r>
        <w:rPr>
          <w:rFonts w:ascii="Times New Roman" w:hAnsi="Times New Roman" w:cs="Times New Roman"/>
          <w:sz w:val="24"/>
          <w:szCs w:val="24"/>
        </w:rPr>
        <w:t xml:space="preserve">vendors produced the 104 total </w:t>
      </w:r>
      <w:r w:rsidR="00D369E0">
        <w:rPr>
          <w:rFonts w:ascii="Times New Roman" w:hAnsi="Times New Roman" w:cs="Times New Roman"/>
          <w:sz w:val="24"/>
          <w:szCs w:val="24"/>
        </w:rPr>
        <w:t xml:space="preserve">EHR </w:t>
      </w:r>
      <w:r>
        <w:rPr>
          <w:rFonts w:ascii="Times New Roman" w:hAnsi="Times New Roman" w:cs="Times New Roman"/>
          <w:sz w:val="24"/>
          <w:szCs w:val="24"/>
        </w:rPr>
        <w:t xml:space="preserve">products. Therefore, a number of vendors made multiple </w:t>
      </w:r>
      <w:r w:rsidR="00D369E0">
        <w:rPr>
          <w:rFonts w:ascii="Times New Roman" w:hAnsi="Times New Roman" w:cs="Times New Roman"/>
          <w:sz w:val="24"/>
          <w:szCs w:val="24"/>
        </w:rPr>
        <w:t xml:space="preserve">EHR </w:t>
      </w:r>
      <w:r>
        <w:rPr>
          <w:rFonts w:ascii="Times New Roman" w:hAnsi="Times New Roman" w:cs="Times New Roman"/>
          <w:sz w:val="24"/>
          <w:szCs w:val="24"/>
        </w:rPr>
        <w:t xml:space="preserve">products or versions of products included within the </w:t>
      </w:r>
      <w:r w:rsidR="006B5495">
        <w:rPr>
          <w:rFonts w:ascii="Times New Roman" w:hAnsi="Times New Roman" w:cs="Times New Roman"/>
          <w:sz w:val="24"/>
          <w:szCs w:val="24"/>
        </w:rPr>
        <w:t>CHPL</w:t>
      </w:r>
      <w:r>
        <w:rPr>
          <w:rFonts w:ascii="Times New Roman" w:hAnsi="Times New Roman" w:cs="Times New Roman"/>
          <w:sz w:val="24"/>
          <w:szCs w:val="24"/>
        </w:rPr>
        <w:t xml:space="preserve">. This number is relevant </w:t>
      </w:r>
      <w:r w:rsidR="008477FA">
        <w:rPr>
          <w:rFonts w:ascii="Times New Roman" w:hAnsi="Times New Roman" w:cs="Times New Roman"/>
          <w:sz w:val="24"/>
          <w:szCs w:val="24"/>
        </w:rPr>
        <w:t>as</w:t>
      </w:r>
      <w:r>
        <w:rPr>
          <w:rFonts w:ascii="Times New Roman" w:hAnsi="Times New Roman" w:cs="Times New Roman"/>
          <w:sz w:val="24"/>
          <w:szCs w:val="24"/>
        </w:rPr>
        <w:t xml:space="preserve"> the majority of patient-specific education resources are found on vendor partner pages and not on </w:t>
      </w:r>
      <w:r w:rsidR="006B5495">
        <w:rPr>
          <w:rFonts w:ascii="Times New Roman" w:hAnsi="Times New Roman" w:cs="Times New Roman"/>
          <w:sz w:val="24"/>
          <w:szCs w:val="24"/>
        </w:rPr>
        <w:t xml:space="preserve">certified </w:t>
      </w:r>
      <w:r>
        <w:rPr>
          <w:rFonts w:ascii="Times New Roman" w:hAnsi="Times New Roman" w:cs="Times New Roman"/>
          <w:sz w:val="24"/>
          <w:szCs w:val="24"/>
        </w:rPr>
        <w:t xml:space="preserve">product pages. </w:t>
      </w:r>
      <w:r w:rsidR="008477FA">
        <w:rPr>
          <w:rFonts w:ascii="Times New Roman" w:hAnsi="Times New Roman" w:cs="Times New Roman"/>
          <w:sz w:val="24"/>
          <w:szCs w:val="24"/>
        </w:rPr>
        <w:t xml:space="preserve">Therefore patient-specific education resources are generally discussed </w:t>
      </w:r>
      <w:r w:rsidR="006B5495">
        <w:rPr>
          <w:rFonts w:ascii="Times New Roman" w:hAnsi="Times New Roman" w:cs="Times New Roman"/>
          <w:sz w:val="24"/>
          <w:szCs w:val="24"/>
        </w:rPr>
        <w:t xml:space="preserve">within this paper </w:t>
      </w:r>
      <w:r w:rsidR="008477FA">
        <w:rPr>
          <w:rFonts w:ascii="Times New Roman" w:hAnsi="Times New Roman" w:cs="Times New Roman"/>
          <w:sz w:val="24"/>
          <w:szCs w:val="24"/>
        </w:rPr>
        <w:t xml:space="preserve">according to the vendor and not the product. </w:t>
      </w:r>
    </w:p>
    <w:p w14:paraId="6F743201" w14:textId="77777777" w:rsidR="00DA2437" w:rsidRDefault="00DA2437" w:rsidP="00F1758F">
      <w:pPr>
        <w:spacing w:line="360" w:lineRule="auto"/>
        <w:contextualSpacing/>
        <w:rPr>
          <w:rFonts w:ascii="Times New Roman" w:hAnsi="Times New Roman" w:cs="Times New Roman"/>
          <w:sz w:val="24"/>
          <w:szCs w:val="24"/>
        </w:rPr>
      </w:pPr>
    </w:p>
    <w:p w14:paraId="6F743202" w14:textId="77777777" w:rsidR="00E32CFC" w:rsidRDefault="00E32CFC" w:rsidP="00F1758F">
      <w:pPr>
        <w:spacing w:line="360" w:lineRule="auto"/>
        <w:contextualSpacing/>
        <w:rPr>
          <w:rFonts w:ascii="Times New Roman" w:hAnsi="Times New Roman" w:cs="Times New Roman"/>
          <w:sz w:val="24"/>
          <w:szCs w:val="24"/>
        </w:rPr>
      </w:pPr>
      <w:r w:rsidRPr="007502C9">
        <w:rPr>
          <w:rFonts w:ascii="Times New Roman" w:hAnsi="Times New Roman" w:cs="Times New Roman"/>
          <w:i/>
          <w:sz w:val="24"/>
          <w:szCs w:val="24"/>
        </w:rPr>
        <w:t xml:space="preserve">Table 1: </w:t>
      </w:r>
      <w:r w:rsidR="00F1758F" w:rsidRPr="00F1758F">
        <w:rPr>
          <w:rFonts w:ascii="Times New Roman" w:hAnsi="Times New Roman" w:cs="Times New Roman"/>
          <w:i/>
          <w:sz w:val="24"/>
          <w:szCs w:val="24"/>
        </w:rPr>
        <w:t>ONC CHPL Analysis Results</w:t>
      </w:r>
      <w:r w:rsidR="00F1758F">
        <w:rPr>
          <w:rFonts w:ascii="Times New Roman" w:hAnsi="Times New Roman" w:cs="Times New Roman"/>
          <w:i/>
          <w:sz w:val="24"/>
          <w:szCs w:val="24"/>
        </w:rPr>
        <w:t xml:space="preserve"> </w:t>
      </w:r>
      <w:r>
        <w:rPr>
          <w:rFonts w:ascii="Times New Roman" w:hAnsi="Times New Roman" w:cs="Times New Roman"/>
          <w:sz w:val="24"/>
          <w:szCs w:val="24"/>
        </w:rPr>
        <w:t>lists the results discussed below. O</w:t>
      </w:r>
      <w:r w:rsidRPr="00E00CE1">
        <w:rPr>
          <w:rFonts w:ascii="Times New Roman" w:hAnsi="Times New Roman" w:cs="Times New Roman"/>
          <w:sz w:val="24"/>
          <w:szCs w:val="24"/>
        </w:rPr>
        <w:t>f the 83 products that met 170.302(m) certif</w:t>
      </w:r>
      <w:r>
        <w:rPr>
          <w:rFonts w:ascii="Times New Roman" w:hAnsi="Times New Roman" w:cs="Times New Roman"/>
          <w:sz w:val="24"/>
          <w:szCs w:val="24"/>
        </w:rPr>
        <w:t>ication criteria, 29 products provide information about their patient education information source on their website. Nine</w:t>
      </w:r>
      <w:r w:rsidRPr="00E00CE1">
        <w:rPr>
          <w:rFonts w:ascii="Times New Roman" w:hAnsi="Times New Roman" w:cs="Times New Roman"/>
          <w:sz w:val="24"/>
          <w:szCs w:val="24"/>
        </w:rPr>
        <w:t xml:space="preserve"> </w:t>
      </w:r>
      <w:r>
        <w:rPr>
          <w:rFonts w:ascii="Times New Roman" w:hAnsi="Times New Roman" w:cs="Times New Roman"/>
          <w:sz w:val="24"/>
          <w:szCs w:val="24"/>
        </w:rPr>
        <w:t xml:space="preserve">of these 29 products </w:t>
      </w:r>
      <w:r w:rsidRPr="00E00CE1">
        <w:rPr>
          <w:rFonts w:ascii="Times New Roman" w:hAnsi="Times New Roman" w:cs="Times New Roman"/>
          <w:sz w:val="24"/>
          <w:szCs w:val="24"/>
        </w:rPr>
        <w:t xml:space="preserve">are used within the </w:t>
      </w:r>
      <w:r>
        <w:rPr>
          <w:rFonts w:ascii="Times New Roman" w:hAnsi="Times New Roman" w:cs="Times New Roman"/>
          <w:sz w:val="24"/>
          <w:szCs w:val="24"/>
        </w:rPr>
        <w:t>ONC certified product while 20</w:t>
      </w:r>
      <w:r w:rsidRPr="00E00CE1">
        <w:rPr>
          <w:rFonts w:ascii="Times New Roman" w:hAnsi="Times New Roman" w:cs="Times New Roman"/>
          <w:sz w:val="24"/>
          <w:szCs w:val="24"/>
        </w:rPr>
        <w:t xml:space="preserve"> are mentioned somewhere on the vendor website (generally </w:t>
      </w:r>
      <w:r>
        <w:rPr>
          <w:rFonts w:ascii="Times New Roman" w:hAnsi="Times New Roman" w:cs="Times New Roman"/>
          <w:sz w:val="24"/>
          <w:szCs w:val="24"/>
        </w:rPr>
        <w:t>the p</w:t>
      </w:r>
      <w:r w:rsidRPr="00E00CE1">
        <w:rPr>
          <w:rFonts w:ascii="Times New Roman" w:hAnsi="Times New Roman" w:cs="Times New Roman"/>
          <w:sz w:val="24"/>
          <w:szCs w:val="24"/>
        </w:rPr>
        <w:t xml:space="preserve">artner page) </w:t>
      </w:r>
      <w:r>
        <w:rPr>
          <w:rFonts w:ascii="Times New Roman" w:hAnsi="Times New Roman" w:cs="Times New Roman"/>
          <w:sz w:val="24"/>
          <w:szCs w:val="24"/>
        </w:rPr>
        <w:t>and</w:t>
      </w:r>
      <w:r w:rsidRPr="00E00CE1">
        <w:rPr>
          <w:rFonts w:ascii="Times New Roman" w:hAnsi="Times New Roman" w:cs="Times New Roman"/>
          <w:sz w:val="24"/>
          <w:szCs w:val="24"/>
        </w:rPr>
        <w:t xml:space="preserve"> not specifically for the certified product. </w:t>
      </w:r>
    </w:p>
    <w:p w14:paraId="6F743203" w14:textId="77777777" w:rsidR="00E32CFC" w:rsidRDefault="00E32CFC" w:rsidP="00F1758F">
      <w:pPr>
        <w:spacing w:line="360" w:lineRule="auto"/>
        <w:contextualSpacing/>
        <w:rPr>
          <w:rFonts w:ascii="Times New Roman" w:hAnsi="Times New Roman" w:cs="Times New Roman"/>
          <w:sz w:val="24"/>
          <w:szCs w:val="24"/>
        </w:rPr>
      </w:pPr>
    </w:p>
    <w:p w14:paraId="6F743204" w14:textId="77777777" w:rsidR="00E32CFC" w:rsidRDefault="00E32CFC" w:rsidP="00F1758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ONC CHPL provides information about the ONC Product Classification (Complete EHR or Modular) and the ONC Practice Setting (Ambulatory or Inpatient). The ONC CHPL contains 70 Complete EHRs and 34 Modular EHRs. The 70 Complete EHRs comprised 67% of the total products, with 69 Complete EHRs certified for 170.302(m) comprising 83% of products certified for 170.302(m). The 34 Modular EHRs comprised 33% of the total products, with 14 Modular EHRs certified for 170.302(m) comprising 17% of products certified for 170.302(m). In addition, </w:t>
      </w:r>
      <w:r w:rsidR="001B1308">
        <w:rPr>
          <w:rFonts w:ascii="Times New Roman" w:hAnsi="Times New Roman" w:cs="Times New Roman"/>
          <w:sz w:val="24"/>
          <w:szCs w:val="24"/>
        </w:rPr>
        <w:t xml:space="preserve">the ONC CHPL contains 78 Ambulatory products and 26 Inpatient products. 63 </w:t>
      </w:r>
      <w:r>
        <w:rPr>
          <w:rFonts w:ascii="Times New Roman" w:hAnsi="Times New Roman" w:cs="Times New Roman"/>
          <w:sz w:val="24"/>
          <w:szCs w:val="24"/>
        </w:rPr>
        <w:t xml:space="preserve">Ambulatory products and </w:t>
      </w:r>
      <w:r w:rsidR="001B1308">
        <w:rPr>
          <w:rFonts w:ascii="Times New Roman" w:hAnsi="Times New Roman" w:cs="Times New Roman"/>
          <w:sz w:val="24"/>
          <w:szCs w:val="24"/>
        </w:rPr>
        <w:t xml:space="preserve">20 </w:t>
      </w:r>
      <w:r>
        <w:rPr>
          <w:rFonts w:ascii="Times New Roman" w:hAnsi="Times New Roman" w:cs="Times New Roman"/>
          <w:sz w:val="24"/>
          <w:szCs w:val="24"/>
        </w:rPr>
        <w:t xml:space="preserve">Inpatient products met the 170.302(m) certification criteria. </w:t>
      </w:r>
      <w:r w:rsidRPr="00E00CE1">
        <w:rPr>
          <w:rFonts w:ascii="Times New Roman" w:hAnsi="Times New Roman" w:cs="Times New Roman"/>
          <w:sz w:val="24"/>
          <w:szCs w:val="24"/>
        </w:rPr>
        <w:t>It should be noted that some of the products that did not meet the criteria as of November 12, 2010 might meet the criteria as of the most recent ONC CHPL</w:t>
      </w:r>
      <w:r w:rsidR="00D26E9C">
        <w:rPr>
          <w:rFonts w:ascii="Times New Roman" w:hAnsi="Times New Roman" w:cs="Times New Roman"/>
          <w:sz w:val="24"/>
          <w:szCs w:val="24"/>
        </w:rPr>
        <w:t xml:space="preserve"> update</w:t>
      </w:r>
      <w:r w:rsidRPr="00E00CE1">
        <w:rPr>
          <w:rFonts w:ascii="Times New Roman" w:hAnsi="Times New Roman" w:cs="Times New Roman"/>
          <w:sz w:val="24"/>
          <w:szCs w:val="24"/>
        </w:rPr>
        <w:t xml:space="preserve">. </w:t>
      </w:r>
    </w:p>
    <w:p w14:paraId="6F743205" w14:textId="77777777" w:rsidR="00E32CFC" w:rsidRDefault="00E32CFC" w:rsidP="00F1758F">
      <w:pPr>
        <w:spacing w:line="360" w:lineRule="auto"/>
        <w:contextualSpacing/>
        <w:rPr>
          <w:rFonts w:ascii="Times New Roman" w:hAnsi="Times New Roman" w:cs="Times New Roman"/>
          <w:sz w:val="24"/>
          <w:szCs w:val="24"/>
        </w:rPr>
      </w:pPr>
    </w:p>
    <w:p w14:paraId="6F743206" w14:textId="77777777" w:rsidR="00F64C08" w:rsidRDefault="00F64C08" w:rsidP="00F1758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Table 1: </w:t>
      </w:r>
      <w:r w:rsidR="00F1758F">
        <w:rPr>
          <w:rFonts w:ascii="Times New Roman" w:hAnsi="Times New Roman" w:cs="Times New Roman"/>
          <w:sz w:val="24"/>
          <w:szCs w:val="24"/>
        </w:rPr>
        <w:t>ONC CHPL Analysis Results</w:t>
      </w:r>
    </w:p>
    <w:tbl>
      <w:tblPr>
        <w:tblStyle w:val="TableGrid"/>
        <w:tblW w:w="0" w:type="auto"/>
        <w:tblLook w:val="04A0" w:firstRow="1" w:lastRow="0" w:firstColumn="1" w:lastColumn="0" w:noHBand="0" w:noVBand="1"/>
        <w:tblCaption w:val="Table 1"/>
        <w:tblDescription w:val="ONC CHPL Analysis Results"/>
      </w:tblPr>
      <w:tblGrid>
        <w:gridCol w:w="4795"/>
        <w:gridCol w:w="900"/>
        <w:gridCol w:w="1345"/>
        <w:gridCol w:w="2310"/>
      </w:tblGrid>
      <w:tr w:rsidR="00F64C08" w14:paraId="6F74320B" w14:textId="77777777" w:rsidTr="00373967">
        <w:trPr>
          <w:tblHeader/>
        </w:trPr>
        <w:tc>
          <w:tcPr>
            <w:tcW w:w="4878" w:type="dxa"/>
          </w:tcPr>
          <w:p w14:paraId="6F743207" w14:textId="77777777" w:rsidR="00F64C08" w:rsidRPr="001B1308" w:rsidRDefault="00F64C08" w:rsidP="00F1758F">
            <w:pPr>
              <w:spacing w:line="360" w:lineRule="auto"/>
              <w:rPr>
                <w:sz w:val="20"/>
                <w:szCs w:val="20"/>
              </w:rPr>
            </w:pPr>
          </w:p>
        </w:tc>
        <w:tc>
          <w:tcPr>
            <w:tcW w:w="900" w:type="dxa"/>
          </w:tcPr>
          <w:p w14:paraId="6F743208" w14:textId="77777777" w:rsidR="00F64C08" w:rsidRPr="007502C9" w:rsidRDefault="007502C9" w:rsidP="00F1758F">
            <w:pPr>
              <w:spacing w:line="360" w:lineRule="auto"/>
              <w:rPr>
                <w:b/>
                <w:sz w:val="20"/>
                <w:szCs w:val="20"/>
              </w:rPr>
            </w:pPr>
            <w:r w:rsidRPr="007502C9">
              <w:rPr>
                <w:b/>
                <w:sz w:val="20"/>
                <w:szCs w:val="20"/>
              </w:rPr>
              <w:t>Total Number</w:t>
            </w:r>
          </w:p>
        </w:tc>
        <w:tc>
          <w:tcPr>
            <w:tcW w:w="1350" w:type="dxa"/>
          </w:tcPr>
          <w:p w14:paraId="6F743209" w14:textId="77777777" w:rsidR="00F64C08" w:rsidRPr="001B1308" w:rsidRDefault="007502C9" w:rsidP="00F1758F">
            <w:pPr>
              <w:spacing w:line="360" w:lineRule="auto"/>
              <w:rPr>
                <w:b/>
                <w:sz w:val="20"/>
                <w:szCs w:val="20"/>
              </w:rPr>
            </w:pPr>
            <w:r>
              <w:rPr>
                <w:b/>
                <w:sz w:val="20"/>
                <w:szCs w:val="20"/>
              </w:rPr>
              <w:t>Percent</w:t>
            </w:r>
            <w:r w:rsidR="00F64C08" w:rsidRPr="001B1308">
              <w:rPr>
                <w:b/>
                <w:sz w:val="20"/>
                <w:szCs w:val="20"/>
              </w:rPr>
              <w:t>age of total EHR products</w:t>
            </w:r>
          </w:p>
        </w:tc>
        <w:tc>
          <w:tcPr>
            <w:tcW w:w="2337" w:type="dxa"/>
          </w:tcPr>
          <w:p w14:paraId="6F74320A" w14:textId="77777777" w:rsidR="00F64C08" w:rsidRPr="001B1308" w:rsidRDefault="007502C9" w:rsidP="00F1758F">
            <w:pPr>
              <w:spacing w:line="360" w:lineRule="auto"/>
              <w:rPr>
                <w:b/>
                <w:sz w:val="20"/>
                <w:szCs w:val="20"/>
              </w:rPr>
            </w:pPr>
            <w:r>
              <w:rPr>
                <w:b/>
                <w:sz w:val="20"/>
                <w:szCs w:val="20"/>
              </w:rPr>
              <w:t>Percent</w:t>
            </w:r>
            <w:r w:rsidR="00F64C08" w:rsidRPr="001B1308">
              <w:rPr>
                <w:b/>
                <w:sz w:val="20"/>
                <w:szCs w:val="20"/>
              </w:rPr>
              <w:t xml:space="preserve">age of </w:t>
            </w:r>
            <w:r w:rsidR="00061FD8" w:rsidRPr="001B1308">
              <w:rPr>
                <w:b/>
                <w:sz w:val="20"/>
                <w:szCs w:val="20"/>
              </w:rPr>
              <w:t xml:space="preserve">total ONC CHPL </w:t>
            </w:r>
            <w:r w:rsidR="00F64C08" w:rsidRPr="001B1308">
              <w:rPr>
                <w:b/>
                <w:sz w:val="20"/>
                <w:szCs w:val="20"/>
              </w:rPr>
              <w:t>products that met 170.302(m)</w:t>
            </w:r>
            <w:r w:rsidR="00061FD8" w:rsidRPr="001B1308">
              <w:rPr>
                <w:b/>
                <w:sz w:val="20"/>
                <w:szCs w:val="20"/>
              </w:rPr>
              <w:t xml:space="preserve"> criteria</w:t>
            </w:r>
          </w:p>
        </w:tc>
      </w:tr>
      <w:tr w:rsidR="00F64C08" w14:paraId="6F743210" w14:textId="77777777" w:rsidTr="007502C9">
        <w:tc>
          <w:tcPr>
            <w:tcW w:w="4878" w:type="dxa"/>
          </w:tcPr>
          <w:p w14:paraId="6F74320C" w14:textId="77777777" w:rsidR="00F64C08" w:rsidRPr="001B1308" w:rsidRDefault="00F64C08" w:rsidP="00F1758F">
            <w:pPr>
              <w:spacing w:line="360" w:lineRule="auto"/>
              <w:rPr>
                <w:sz w:val="20"/>
                <w:szCs w:val="20"/>
              </w:rPr>
            </w:pPr>
            <w:r w:rsidRPr="001B1308">
              <w:rPr>
                <w:sz w:val="20"/>
                <w:szCs w:val="20"/>
              </w:rPr>
              <w:t xml:space="preserve">Total </w:t>
            </w:r>
            <w:r w:rsidR="00061FD8" w:rsidRPr="001B1308">
              <w:rPr>
                <w:sz w:val="20"/>
                <w:szCs w:val="20"/>
              </w:rPr>
              <w:t xml:space="preserve">ONC CHPL </w:t>
            </w:r>
            <w:r w:rsidRPr="001B1308">
              <w:rPr>
                <w:sz w:val="20"/>
                <w:szCs w:val="20"/>
              </w:rPr>
              <w:t>EHR  Products</w:t>
            </w:r>
          </w:p>
        </w:tc>
        <w:tc>
          <w:tcPr>
            <w:tcW w:w="900" w:type="dxa"/>
          </w:tcPr>
          <w:p w14:paraId="6F74320D" w14:textId="77777777" w:rsidR="00F64C08" w:rsidRPr="001B1308" w:rsidRDefault="00F64C08" w:rsidP="00F1758F">
            <w:pPr>
              <w:spacing w:line="360" w:lineRule="auto"/>
              <w:rPr>
                <w:sz w:val="20"/>
                <w:szCs w:val="20"/>
              </w:rPr>
            </w:pPr>
            <w:r w:rsidRPr="001B1308">
              <w:rPr>
                <w:sz w:val="20"/>
                <w:szCs w:val="20"/>
              </w:rPr>
              <w:t>104</w:t>
            </w:r>
          </w:p>
        </w:tc>
        <w:tc>
          <w:tcPr>
            <w:tcW w:w="1350" w:type="dxa"/>
          </w:tcPr>
          <w:p w14:paraId="6F74320E" w14:textId="77777777" w:rsidR="00F64C08" w:rsidRPr="001B1308" w:rsidRDefault="00F64C08" w:rsidP="00F1758F">
            <w:pPr>
              <w:spacing w:line="360" w:lineRule="auto"/>
              <w:rPr>
                <w:sz w:val="20"/>
                <w:szCs w:val="20"/>
              </w:rPr>
            </w:pPr>
            <w:r w:rsidRPr="001B1308">
              <w:rPr>
                <w:sz w:val="20"/>
                <w:szCs w:val="20"/>
              </w:rPr>
              <w:t>100%</w:t>
            </w:r>
          </w:p>
        </w:tc>
        <w:tc>
          <w:tcPr>
            <w:tcW w:w="2337" w:type="dxa"/>
          </w:tcPr>
          <w:p w14:paraId="6F74320F" w14:textId="77777777" w:rsidR="00F64C08" w:rsidRPr="001B1308" w:rsidRDefault="00F64C08" w:rsidP="00F1758F">
            <w:pPr>
              <w:spacing w:line="360" w:lineRule="auto"/>
              <w:rPr>
                <w:sz w:val="20"/>
                <w:szCs w:val="20"/>
              </w:rPr>
            </w:pPr>
            <w:r w:rsidRPr="001B1308">
              <w:rPr>
                <w:sz w:val="20"/>
                <w:szCs w:val="20"/>
              </w:rPr>
              <w:t>-</w:t>
            </w:r>
          </w:p>
        </w:tc>
      </w:tr>
      <w:tr w:rsidR="00F64C08" w14:paraId="6F743215" w14:textId="77777777" w:rsidTr="007502C9">
        <w:tc>
          <w:tcPr>
            <w:tcW w:w="4878" w:type="dxa"/>
          </w:tcPr>
          <w:p w14:paraId="6F743211" w14:textId="77777777" w:rsidR="00F64C08" w:rsidRPr="001B1308" w:rsidRDefault="00F64C08" w:rsidP="00F1758F">
            <w:pPr>
              <w:spacing w:line="360" w:lineRule="auto"/>
              <w:rPr>
                <w:sz w:val="20"/>
                <w:szCs w:val="20"/>
              </w:rPr>
            </w:pPr>
            <w:r w:rsidRPr="001B1308">
              <w:rPr>
                <w:sz w:val="20"/>
                <w:szCs w:val="20"/>
              </w:rPr>
              <w:t>Total ONC CHPL products that met 170.302(m) certification criteria as of 11/12/2010</w:t>
            </w:r>
          </w:p>
        </w:tc>
        <w:tc>
          <w:tcPr>
            <w:tcW w:w="900" w:type="dxa"/>
          </w:tcPr>
          <w:p w14:paraId="6F743212" w14:textId="77777777" w:rsidR="00F64C08" w:rsidRPr="001B1308" w:rsidRDefault="00F64C08" w:rsidP="00F1758F">
            <w:pPr>
              <w:spacing w:line="360" w:lineRule="auto"/>
              <w:rPr>
                <w:sz w:val="20"/>
                <w:szCs w:val="20"/>
              </w:rPr>
            </w:pPr>
            <w:r w:rsidRPr="001B1308">
              <w:rPr>
                <w:sz w:val="20"/>
                <w:szCs w:val="20"/>
              </w:rPr>
              <w:t>83</w:t>
            </w:r>
          </w:p>
        </w:tc>
        <w:tc>
          <w:tcPr>
            <w:tcW w:w="1350" w:type="dxa"/>
          </w:tcPr>
          <w:p w14:paraId="6F743213" w14:textId="77777777" w:rsidR="00F64C08" w:rsidRPr="001B1308" w:rsidRDefault="00F64C08" w:rsidP="00F1758F">
            <w:pPr>
              <w:spacing w:line="360" w:lineRule="auto"/>
              <w:rPr>
                <w:sz w:val="20"/>
                <w:szCs w:val="20"/>
              </w:rPr>
            </w:pPr>
            <w:r w:rsidRPr="001B1308">
              <w:rPr>
                <w:sz w:val="20"/>
                <w:szCs w:val="20"/>
              </w:rPr>
              <w:t>79.8%</w:t>
            </w:r>
          </w:p>
        </w:tc>
        <w:tc>
          <w:tcPr>
            <w:tcW w:w="2337" w:type="dxa"/>
          </w:tcPr>
          <w:p w14:paraId="6F743214" w14:textId="77777777" w:rsidR="00F64C08" w:rsidRPr="001B1308" w:rsidRDefault="00F64C08" w:rsidP="00F1758F">
            <w:pPr>
              <w:spacing w:line="360" w:lineRule="auto"/>
              <w:rPr>
                <w:sz w:val="20"/>
                <w:szCs w:val="20"/>
              </w:rPr>
            </w:pPr>
            <w:r w:rsidRPr="001B1308">
              <w:rPr>
                <w:sz w:val="20"/>
                <w:szCs w:val="20"/>
              </w:rPr>
              <w:t>100%</w:t>
            </w:r>
          </w:p>
        </w:tc>
      </w:tr>
      <w:tr w:rsidR="00F64C08" w14:paraId="6F74321A" w14:textId="77777777" w:rsidTr="007502C9">
        <w:tc>
          <w:tcPr>
            <w:tcW w:w="4878" w:type="dxa"/>
          </w:tcPr>
          <w:p w14:paraId="6F743216" w14:textId="77777777" w:rsidR="00F64C08" w:rsidRPr="001B1308" w:rsidRDefault="00235228" w:rsidP="00F1758F">
            <w:pPr>
              <w:spacing w:line="360" w:lineRule="auto"/>
              <w:rPr>
                <w:sz w:val="20"/>
                <w:szCs w:val="20"/>
              </w:rPr>
            </w:pPr>
            <w:r>
              <w:rPr>
                <w:sz w:val="20"/>
                <w:szCs w:val="20"/>
              </w:rPr>
              <w:t>P</w:t>
            </w:r>
            <w:r w:rsidR="00F64C08" w:rsidRPr="001B1308">
              <w:rPr>
                <w:sz w:val="20"/>
                <w:szCs w:val="20"/>
              </w:rPr>
              <w:t>roducts that provide information about patient</w:t>
            </w:r>
            <w:r w:rsidR="00BE2BB9">
              <w:rPr>
                <w:sz w:val="20"/>
                <w:szCs w:val="20"/>
              </w:rPr>
              <w:t>-specific</w:t>
            </w:r>
            <w:r w:rsidR="00F64C08" w:rsidRPr="001B1308">
              <w:rPr>
                <w:sz w:val="20"/>
                <w:szCs w:val="20"/>
              </w:rPr>
              <w:t xml:space="preserve"> education resource vendors</w:t>
            </w:r>
          </w:p>
        </w:tc>
        <w:tc>
          <w:tcPr>
            <w:tcW w:w="900" w:type="dxa"/>
          </w:tcPr>
          <w:p w14:paraId="6F743217" w14:textId="77777777" w:rsidR="00F64C08" w:rsidRPr="001B1308" w:rsidRDefault="00F64C08" w:rsidP="00F1758F">
            <w:pPr>
              <w:spacing w:line="360" w:lineRule="auto"/>
              <w:rPr>
                <w:sz w:val="20"/>
                <w:szCs w:val="20"/>
              </w:rPr>
            </w:pPr>
            <w:r w:rsidRPr="001B1308">
              <w:rPr>
                <w:sz w:val="20"/>
                <w:szCs w:val="20"/>
              </w:rPr>
              <w:t>29</w:t>
            </w:r>
          </w:p>
        </w:tc>
        <w:tc>
          <w:tcPr>
            <w:tcW w:w="1350" w:type="dxa"/>
          </w:tcPr>
          <w:p w14:paraId="6F743218" w14:textId="77777777" w:rsidR="00F64C08" w:rsidRPr="001B1308" w:rsidRDefault="00F64C08" w:rsidP="00F1758F">
            <w:pPr>
              <w:spacing w:line="360" w:lineRule="auto"/>
              <w:rPr>
                <w:sz w:val="20"/>
                <w:szCs w:val="20"/>
              </w:rPr>
            </w:pPr>
            <w:r w:rsidRPr="001B1308">
              <w:rPr>
                <w:sz w:val="20"/>
                <w:szCs w:val="20"/>
              </w:rPr>
              <w:t>27.9%</w:t>
            </w:r>
          </w:p>
        </w:tc>
        <w:tc>
          <w:tcPr>
            <w:tcW w:w="2337" w:type="dxa"/>
          </w:tcPr>
          <w:p w14:paraId="6F743219" w14:textId="77777777" w:rsidR="00F64C08" w:rsidRPr="001B1308" w:rsidRDefault="00F64C08" w:rsidP="00F1758F">
            <w:pPr>
              <w:spacing w:line="360" w:lineRule="auto"/>
              <w:rPr>
                <w:sz w:val="20"/>
                <w:szCs w:val="20"/>
              </w:rPr>
            </w:pPr>
            <w:r w:rsidRPr="001B1308">
              <w:rPr>
                <w:sz w:val="20"/>
                <w:szCs w:val="20"/>
              </w:rPr>
              <w:t>34.9%</w:t>
            </w:r>
          </w:p>
        </w:tc>
      </w:tr>
      <w:tr w:rsidR="00F64C08" w14:paraId="6F74321F" w14:textId="77777777" w:rsidTr="007502C9">
        <w:tc>
          <w:tcPr>
            <w:tcW w:w="4878" w:type="dxa"/>
          </w:tcPr>
          <w:p w14:paraId="6F74321B" w14:textId="77777777" w:rsidR="00F64C08" w:rsidRPr="001B1308" w:rsidRDefault="00235228" w:rsidP="00F1758F">
            <w:pPr>
              <w:spacing w:line="360" w:lineRule="auto"/>
              <w:rPr>
                <w:sz w:val="20"/>
                <w:szCs w:val="20"/>
              </w:rPr>
            </w:pPr>
            <w:r>
              <w:rPr>
                <w:sz w:val="20"/>
                <w:szCs w:val="20"/>
              </w:rPr>
              <w:lastRenderedPageBreak/>
              <w:t>Total p</w:t>
            </w:r>
            <w:r w:rsidR="00F64C08" w:rsidRPr="001B1308">
              <w:rPr>
                <w:sz w:val="20"/>
                <w:szCs w:val="20"/>
              </w:rPr>
              <w:t>atient</w:t>
            </w:r>
            <w:r w:rsidR="00BE2BB9">
              <w:rPr>
                <w:sz w:val="20"/>
                <w:szCs w:val="20"/>
              </w:rPr>
              <w:t>-specific</w:t>
            </w:r>
            <w:r w:rsidR="00F64C08" w:rsidRPr="001B1308">
              <w:rPr>
                <w:sz w:val="20"/>
                <w:szCs w:val="20"/>
              </w:rPr>
              <w:t xml:space="preserve"> education resources found on partner page</w:t>
            </w:r>
          </w:p>
        </w:tc>
        <w:tc>
          <w:tcPr>
            <w:tcW w:w="900" w:type="dxa"/>
          </w:tcPr>
          <w:p w14:paraId="6F74321C" w14:textId="77777777" w:rsidR="00F64C08" w:rsidRPr="001B1308" w:rsidRDefault="00F64C08" w:rsidP="00F1758F">
            <w:pPr>
              <w:spacing w:line="360" w:lineRule="auto"/>
              <w:rPr>
                <w:sz w:val="20"/>
                <w:szCs w:val="20"/>
              </w:rPr>
            </w:pPr>
            <w:r w:rsidRPr="001B1308">
              <w:rPr>
                <w:sz w:val="20"/>
                <w:szCs w:val="20"/>
              </w:rPr>
              <w:t>20</w:t>
            </w:r>
          </w:p>
        </w:tc>
        <w:tc>
          <w:tcPr>
            <w:tcW w:w="1350" w:type="dxa"/>
          </w:tcPr>
          <w:p w14:paraId="6F74321D" w14:textId="77777777" w:rsidR="00F64C08" w:rsidRPr="001B1308" w:rsidRDefault="00F64C08" w:rsidP="00F1758F">
            <w:pPr>
              <w:spacing w:line="360" w:lineRule="auto"/>
              <w:rPr>
                <w:sz w:val="20"/>
                <w:szCs w:val="20"/>
              </w:rPr>
            </w:pPr>
            <w:r w:rsidRPr="001B1308">
              <w:rPr>
                <w:sz w:val="20"/>
                <w:szCs w:val="20"/>
              </w:rPr>
              <w:t>19.2%</w:t>
            </w:r>
          </w:p>
        </w:tc>
        <w:tc>
          <w:tcPr>
            <w:tcW w:w="2337" w:type="dxa"/>
          </w:tcPr>
          <w:p w14:paraId="6F74321E" w14:textId="77777777" w:rsidR="00F64C08" w:rsidRPr="001B1308" w:rsidRDefault="00F64C08" w:rsidP="00F1758F">
            <w:pPr>
              <w:spacing w:line="360" w:lineRule="auto"/>
              <w:rPr>
                <w:sz w:val="20"/>
                <w:szCs w:val="20"/>
              </w:rPr>
            </w:pPr>
            <w:r w:rsidRPr="001B1308">
              <w:rPr>
                <w:sz w:val="20"/>
                <w:szCs w:val="20"/>
              </w:rPr>
              <w:t>24.1%</w:t>
            </w:r>
          </w:p>
        </w:tc>
      </w:tr>
      <w:tr w:rsidR="00F64C08" w14:paraId="6F743224" w14:textId="77777777" w:rsidTr="007502C9">
        <w:tc>
          <w:tcPr>
            <w:tcW w:w="4878" w:type="dxa"/>
          </w:tcPr>
          <w:p w14:paraId="6F743220" w14:textId="77777777" w:rsidR="00F64C08" w:rsidRPr="001B1308" w:rsidRDefault="00235228" w:rsidP="00F1758F">
            <w:pPr>
              <w:spacing w:line="360" w:lineRule="auto"/>
              <w:rPr>
                <w:sz w:val="20"/>
                <w:szCs w:val="20"/>
              </w:rPr>
            </w:pPr>
            <w:r>
              <w:rPr>
                <w:sz w:val="20"/>
                <w:szCs w:val="20"/>
              </w:rPr>
              <w:t>P</w:t>
            </w:r>
            <w:r w:rsidR="00F64C08" w:rsidRPr="001B1308">
              <w:rPr>
                <w:sz w:val="20"/>
                <w:szCs w:val="20"/>
              </w:rPr>
              <w:t>atient</w:t>
            </w:r>
            <w:r w:rsidR="00BE2BB9">
              <w:rPr>
                <w:sz w:val="20"/>
                <w:szCs w:val="20"/>
              </w:rPr>
              <w:t>-specific</w:t>
            </w:r>
            <w:r w:rsidR="00F64C08" w:rsidRPr="001B1308">
              <w:rPr>
                <w:sz w:val="20"/>
                <w:szCs w:val="20"/>
              </w:rPr>
              <w:t xml:space="preserve"> education resources found  on certified product page</w:t>
            </w:r>
          </w:p>
        </w:tc>
        <w:tc>
          <w:tcPr>
            <w:tcW w:w="900" w:type="dxa"/>
          </w:tcPr>
          <w:p w14:paraId="6F743221" w14:textId="77777777" w:rsidR="00F64C08" w:rsidRPr="001B1308" w:rsidRDefault="00F64C08" w:rsidP="00F1758F">
            <w:pPr>
              <w:spacing w:line="360" w:lineRule="auto"/>
              <w:rPr>
                <w:sz w:val="20"/>
                <w:szCs w:val="20"/>
              </w:rPr>
            </w:pPr>
            <w:r w:rsidRPr="001B1308">
              <w:rPr>
                <w:sz w:val="20"/>
                <w:szCs w:val="20"/>
              </w:rPr>
              <w:t>9</w:t>
            </w:r>
          </w:p>
        </w:tc>
        <w:tc>
          <w:tcPr>
            <w:tcW w:w="1350" w:type="dxa"/>
          </w:tcPr>
          <w:p w14:paraId="6F743222" w14:textId="77777777" w:rsidR="00F64C08" w:rsidRPr="001B1308" w:rsidRDefault="00F64C08" w:rsidP="00F1758F">
            <w:pPr>
              <w:spacing w:line="360" w:lineRule="auto"/>
              <w:rPr>
                <w:sz w:val="20"/>
                <w:szCs w:val="20"/>
              </w:rPr>
            </w:pPr>
            <w:r w:rsidRPr="001B1308">
              <w:rPr>
                <w:sz w:val="20"/>
                <w:szCs w:val="20"/>
              </w:rPr>
              <w:t>8.7%</w:t>
            </w:r>
          </w:p>
        </w:tc>
        <w:tc>
          <w:tcPr>
            <w:tcW w:w="2337" w:type="dxa"/>
          </w:tcPr>
          <w:p w14:paraId="6F743223" w14:textId="77777777" w:rsidR="00F64C08" w:rsidRPr="001B1308" w:rsidRDefault="00F64C08" w:rsidP="00F1758F">
            <w:pPr>
              <w:spacing w:line="360" w:lineRule="auto"/>
              <w:rPr>
                <w:sz w:val="20"/>
                <w:szCs w:val="20"/>
              </w:rPr>
            </w:pPr>
            <w:r w:rsidRPr="001B1308">
              <w:rPr>
                <w:sz w:val="20"/>
                <w:szCs w:val="20"/>
              </w:rPr>
              <w:t>10.8%</w:t>
            </w:r>
          </w:p>
        </w:tc>
      </w:tr>
      <w:tr w:rsidR="00F64C08" w14:paraId="6F743229" w14:textId="77777777" w:rsidTr="007502C9">
        <w:tc>
          <w:tcPr>
            <w:tcW w:w="4878" w:type="dxa"/>
          </w:tcPr>
          <w:p w14:paraId="6F743225" w14:textId="77777777" w:rsidR="00F64C08" w:rsidRPr="001B1308" w:rsidRDefault="00235228" w:rsidP="00F1758F">
            <w:pPr>
              <w:spacing w:line="360" w:lineRule="auto"/>
              <w:rPr>
                <w:sz w:val="20"/>
                <w:szCs w:val="20"/>
              </w:rPr>
            </w:pPr>
            <w:r>
              <w:rPr>
                <w:sz w:val="20"/>
                <w:szCs w:val="20"/>
              </w:rPr>
              <w:t>C</w:t>
            </w:r>
            <w:r w:rsidR="00F64C08" w:rsidRPr="001B1308">
              <w:rPr>
                <w:sz w:val="20"/>
                <w:szCs w:val="20"/>
              </w:rPr>
              <w:t>omplete EHR</w:t>
            </w:r>
            <w:r w:rsidR="00BE2BB9">
              <w:rPr>
                <w:sz w:val="20"/>
                <w:szCs w:val="20"/>
              </w:rPr>
              <w:t>s</w:t>
            </w:r>
          </w:p>
        </w:tc>
        <w:tc>
          <w:tcPr>
            <w:tcW w:w="900" w:type="dxa"/>
          </w:tcPr>
          <w:p w14:paraId="6F743226" w14:textId="77777777" w:rsidR="00F64C08" w:rsidRPr="001B1308" w:rsidRDefault="00F64C08" w:rsidP="00F1758F">
            <w:pPr>
              <w:spacing w:line="360" w:lineRule="auto"/>
              <w:rPr>
                <w:sz w:val="20"/>
                <w:szCs w:val="20"/>
              </w:rPr>
            </w:pPr>
            <w:r w:rsidRPr="001B1308">
              <w:rPr>
                <w:sz w:val="20"/>
                <w:szCs w:val="20"/>
              </w:rPr>
              <w:t>70</w:t>
            </w:r>
          </w:p>
        </w:tc>
        <w:tc>
          <w:tcPr>
            <w:tcW w:w="1350" w:type="dxa"/>
          </w:tcPr>
          <w:p w14:paraId="6F743227" w14:textId="77777777" w:rsidR="00F64C08" w:rsidRPr="001B1308" w:rsidRDefault="00F64C08" w:rsidP="00F1758F">
            <w:pPr>
              <w:spacing w:line="360" w:lineRule="auto"/>
              <w:rPr>
                <w:sz w:val="20"/>
                <w:szCs w:val="20"/>
              </w:rPr>
            </w:pPr>
            <w:r w:rsidRPr="001B1308">
              <w:rPr>
                <w:sz w:val="20"/>
                <w:szCs w:val="20"/>
              </w:rPr>
              <w:t>67.3%</w:t>
            </w:r>
          </w:p>
        </w:tc>
        <w:tc>
          <w:tcPr>
            <w:tcW w:w="2337" w:type="dxa"/>
          </w:tcPr>
          <w:p w14:paraId="6F743228" w14:textId="77777777" w:rsidR="00F64C08" w:rsidRPr="001B1308" w:rsidRDefault="00F64C08" w:rsidP="00F1758F">
            <w:pPr>
              <w:spacing w:line="360" w:lineRule="auto"/>
              <w:rPr>
                <w:sz w:val="20"/>
                <w:szCs w:val="20"/>
              </w:rPr>
            </w:pPr>
            <w:r w:rsidRPr="001B1308">
              <w:rPr>
                <w:sz w:val="20"/>
                <w:szCs w:val="20"/>
              </w:rPr>
              <w:t>84.3%</w:t>
            </w:r>
          </w:p>
        </w:tc>
      </w:tr>
      <w:tr w:rsidR="00F64C08" w14:paraId="6F74322E" w14:textId="77777777" w:rsidTr="007502C9">
        <w:tc>
          <w:tcPr>
            <w:tcW w:w="4878" w:type="dxa"/>
          </w:tcPr>
          <w:p w14:paraId="6F74322A" w14:textId="77777777" w:rsidR="00F64C08" w:rsidRPr="001B1308" w:rsidRDefault="00F64C08" w:rsidP="00F1758F">
            <w:pPr>
              <w:spacing w:line="360" w:lineRule="auto"/>
              <w:rPr>
                <w:sz w:val="20"/>
                <w:szCs w:val="20"/>
              </w:rPr>
            </w:pPr>
            <w:r w:rsidRPr="001B1308">
              <w:rPr>
                <w:sz w:val="20"/>
                <w:szCs w:val="20"/>
              </w:rPr>
              <w:t>Complete EHRs that met 170.302(m)</w:t>
            </w:r>
          </w:p>
        </w:tc>
        <w:tc>
          <w:tcPr>
            <w:tcW w:w="900" w:type="dxa"/>
          </w:tcPr>
          <w:p w14:paraId="6F74322B" w14:textId="77777777" w:rsidR="00F64C08" w:rsidRPr="001B1308" w:rsidRDefault="00E32CFC" w:rsidP="00F1758F">
            <w:pPr>
              <w:spacing w:line="360" w:lineRule="auto"/>
              <w:rPr>
                <w:sz w:val="20"/>
                <w:szCs w:val="20"/>
              </w:rPr>
            </w:pPr>
            <w:r w:rsidRPr="001B1308">
              <w:rPr>
                <w:sz w:val="20"/>
                <w:szCs w:val="20"/>
              </w:rPr>
              <w:t>69</w:t>
            </w:r>
          </w:p>
        </w:tc>
        <w:tc>
          <w:tcPr>
            <w:tcW w:w="1350" w:type="dxa"/>
          </w:tcPr>
          <w:p w14:paraId="6F74322C" w14:textId="77777777" w:rsidR="00F64C08" w:rsidRPr="001B1308" w:rsidRDefault="00E32CFC" w:rsidP="00F1758F">
            <w:pPr>
              <w:spacing w:line="360" w:lineRule="auto"/>
              <w:rPr>
                <w:sz w:val="20"/>
                <w:szCs w:val="20"/>
              </w:rPr>
            </w:pPr>
            <w:r w:rsidRPr="001B1308">
              <w:rPr>
                <w:sz w:val="20"/>
                <w:szCs w:val="20"/>
              </w:rPr>
              <w:t>66.3%</w:t>
            </w:r>
          </w:p>
        </w:tc>
        <w:tc>
          <w:tcPr>
            <w:tcW w:w="2337" w:type="dxa"/>
          </w:tcPr>
          <w:p w14:paraId="6F74322D" w14:textId="77777777" w:rsidR="00F64C08" w:rsidRPr="001B1308" w:rsidRDefault="00E32CFC" w:rsidP="00F1758F">
            <w:pPr>
              <w:spacing w:line="360" w:lineRule="auto"/>
              <w:rPr>
                <w:sz w:val="20"/>
                <w:szCs w:val="20"/>
              </w:rPr>
            </w:pPr>
            <w:r w:rsidRPr="001B1308">
              <w:rPr>
                <w:sz w:val="20"/>
                <w:szCs w:val="20"/>
              </w:rPr>
              <w:t>83.1%</w:t>
            </w:r>
          </w:p>
        </w:tc>
      </w:tr>
      <w:tr w:rsidR="00F64C08" w14:paraId="6F743233" w14:textId="77777777" w:rsidTr="007502C9">
        <w:tc>
          <w:tcPr>
            <w:tcW w:w="4878" w:type="dxa"/>
          </w:tcPr>
          <w:p w14:paraId="6F74322F" w14:textId="77777777" w:rsidR="00F64C08" w:rsidRPr="001B1308" w:rsidRDefault="00F64C08" w:rsidP="00F1758F">
            <w:pPr>
              <w:spacing w:line="360" w:lineRule="auto"/>
              <w:rPr>
                <w:sz w:val="20"/>
                <w:szCs w:val="20"/>
              </w:rPr>
            </w:pPr>
            <w:r w:rsidRPr="001B1308">
              <w:rPr>
                <w:sz w:val="20"/>
                <w:szCs w:val="20"/>
              </w:rPr>
              <w:t>Modular EHRs</w:t>
            </w:r>
          </w:p>
        </w:tc>
        <w:tc>
          <w:tcPr>
            <w:tcW w:w="900" w:type="dxa"/>
          </w:tcPr>
          <w:p w14:paraId="6F743230" w14:textId="77777777" w:rsidR="00F64C08" w:rsidRPr="001B1308" w:rsidRDefault="00F64C08" w:rsidP="00F1758F">
            <w:pPr>
              <w:spacing w:line="360" w:lineRule="auto"/>
              <w:rPr>
                <w:sz w:val="20"/>
                <w:szCs w:val="20"/>
              </w:rPr>
            </w:pPr>
            <w:r w:rsidRPr="001B1308">
              <w:rPr>
                <w:sz w:val="20"/>
                <w:szCs w:val="20"/>
              </w:rPr>
              <w:t>34</w:t>
            </w:r>
          </w:p>
        </w:tc>
        <w:tc>
          <w:tcPr>
            <w:tcW w:w="1350" w:type="dxa"/>
          </w:tcPr>
          <w:p w14:paraId="6F743231" w14:textId="77777777" w:rsidR="00F64C08" w:rsidRPr="001B1308" w:rsidRDefault="00061FD8" w:rsidP="00F1758F">
            <w:pPr>
              <w:spacing w:line="360" w:lineRule="auto"/>
              <w:rPr>
                <w:sz w:val="20"/>
                <w:szCs w:val="20"/>
              </w:rPr>
            </w:pPr>
            <w:r w:rsidRPr="001B1308">
              <w:rPr>
                <w:sz w:val="20"/>
                <w:szCs w:val="20"/>
              </w:rPr>
              <w:t>32.7%</w:t>
            </w:r>
          </w:p>
        </w:tc>
        <w:tc>
          <w:tcPr>
            <w:tcW w:w="2337" w:type="dxa"/>
          </w:tcPr>
          <w:p w14:paraId="6F743232" w14:textId="77777777" w:rsidR="00F64C08" w:rsidRPr="001B1308" w:rsidRDefault="00061FD8" w:rsidP="00F1758F">
            <w:pPr>
              <w:spacing w:line="360" w:lineRule="auto"/>
              <w:rPr>
                <w:sz w:val="20"/>
                <w:szCs w:val="20"/>
              </w:rPr>
            </w:pPr>
            <w:r w:rsidRPr="001B1308">
              <w:rPr>
                <w:sz w:val="20"/>
                <w:szCs w:val="20"/>
              </w:rPr>
              <w:t>41%</w:t>
            </w:r>
          </w:p>
        </w:tc>
      </w:tr>
      <w:tr w:rsidR="00F64C08" w14:paraId="6F743238" w14:textId="77777777" w:rsidTr="007502C9">
        <w:tc>
          <w:tcPr>
            <w:tcW w:w="4878" w:type="dxa"/>
          </w:tcPr>
          <w:p w14:paraId="6F743234" w14:textId="77777777" w:rsidR="00F64C08" w:rsidRPr="001B1308" w:rsidRDefault="00F64C08" w:rsidP="00F1758F">
            <w:pPr>
              <w:spacing w:line="360" w:lineRule="auto"/>
              <w:rPr>
                <w:sz w:val="20"/>
                <w:szCs w:val="20"/>
              </w:rPr>
            </w:pPr>
            <w:r w:rsidRPr="001B1308">
              <w:rPr>
                <w:sz w:val="20"/>
                <w:szCs w:val="20"/>
              </w:rPr>
              <w:t>Modular EHRs that met 170.302(m)</w:t>
            </w:r>
          </w:p>
        </w:tc>
        <w:tc>
          <w:tcPr>
            <w:tcW w:w="900" w:type="dxa"/>
          </w:tcPr>
          <w:p w14:paraId="6F743235" w14:textId="77777777" w:rsidR="00F64C08" w:rsidRPr="001B1308" w:rsidRDefault="00E32CFC" w:rsidP="00F1758F">
            <w:pPr>
              <w:spacing w:line="360" w:lineRule="auto"/>
              <w:rPr>
                <w:sz w:val="20"/>
                <w:szCs w:val="20"/>
              </w:rPr>
            </w:pPr>
            <w:r w:rsidRPr="001B1308">
              <w:rPr>
                <w:sz w:val="20"/>
                <w:szCs w:val="20"/>
              </w:rPr>
              <w:t>14</w:t>
            </w:r>
          </w:p>
        </w:tc>
        <w:tc>
          <w:tcPr>
            <w:tcW w:w="1350" w:type="dxa"/>
          </w:tcPr>
          <w:p w14:paraId="6F743236" w14:textId="77777777" w:rsidR="00F64C08" w:rsidRPr="001B1308" w:rsidRDefault="00E32CFC" w:rsidP="00F1758F">
            <w:pPr>
              <w:spacing w:line="360" w:lineRule="auto"/>
              <w:rPr>
                <w:sz w:val="20"/>
                <w:szCs w:val="20"/>
              </w:rPr>
            </w:pPr>
            <w:r w:rsidRPr="001B1308">
              <w:rPr>
                <w:sz w:val="20"/>
                <w:szCs w:val="20"/>
              </w:rPr>
              <w:t>13.5%</w:t>
            </w:r>
          </w:p>
        </w:tc>
        <w:tc>
          <w:tcPr>
            <w:tcW w:w="2337" w:type="dxa"/>
          </w:tcPr>
          <w:p w14:paraId="6F743237" w14:textId="77777777" w:rsidR="00F64C08" w:rsidRPr="001B1308" w:rsidRDefault="00E32CFC" w:rsidP="00F1758F">
            <w:pPr>
              <w:spacing w:line="360" w:lineRule="auto"/>
              <w:rPr>
                <w:sz w:val="20"/>
                <w:szCs w:val="20"/>
              </w:rPr>
            </w:pPr>
            <w:r w:rsidRPr="001B1308">
              <w:rPr>
                <w:sz w:val="20"/>
                <w:szCs w:val="20"/>
              </w:rPr>
              <w:t>16.9%</w:t>
            </w:r>
          </w:p>
        </w:tc>
      </w:tr>
      <w:tr w:rsidR="00F64C08" w14:paraId="6F74323D" w14:textId="77777777" w:rsidTr="007502C9">
        <w:tc>
          <w:tcPr>
            <w:tcW w:w="4878" w:type="dxa"/>
          </w:tcPr>
          <w:p w14:paraId="6F743239" w14:textId="77777777" w:rsidR="00F64C08" w:rsidRPr="001B1308" w:rsidRDefault="00F64C08" w:rsidP="00F1758F">
            <w:pPr>
              <w:spacing w:line="360" w:lineRule="auto"/>
              <w:rPr>
                <w:sz w:val="20"/>
                <w:szCs w:val="20"/>
              </w:rPr>
            </w:pPr>
            <w:r w:rsidRPr="001B1308">
              <w:rPr>
                <w:sz w:val="20"/>
                <w:szCs w:val="20"/>
              </w:rPr>
              <w:t xml:space="preserve">Ambulatory </w:t>
            </w:r>
            <w:r w:rsidR="00BE2BB9" w:rsidRPr="001B1308">
              <w:rPr>
                <w:sz w:val="20"/>
                <w:szCs w:val="20"/>
              </w:rPr>
              <w:t>EHRs</w:t>
            </w:r>
          </w:p>
        </w:tc>
        <w:tc>
          <w:tcPr>
            <w:tcW w:w="900" w:type="dxa"/>
          </w:tcPr>
          <w:p w14:paraId="6F74323A" w14:textId="77777777" w:rsidR="00F64C08" w:rsidRPr="001B1308" w:rsidRDefault="00E32CFC" w:rsidP="00F1758F">
            <w:pPr>
              <w:spacing w:line="360" w:lineRule="auto"/>
              <w:rPr>
                <w:sz w:val="20"/>
                <w:szCs w:val="20"/>
              </w:rPr>
            </w:pPr>
            <w:r w:rsidRPr="001B1308">
              <w:rPr>
                <w:sz w:val="20"/>
                <w:szCs w:val="20"/>
              </w:rPr>
              <w:t>78</w:t>
            </w:r>
          </w:p>
        </w:tc>
        <w:tc>
          <w:tcPr>
            <w:tcW w:w="1350" w:type="dxa"/>
          </w:tcPr>
          <w:p w14:paraId="6F74323B" w14:textId="77777777" w:rsidR="00F64C08" w:rsidRPr="001B1308" w:rsidRDefault="00E32CFC" w:rsidP="00F1758F">
            <w:pPr>
              <w:spacing w:line="360" w:lineRule="auto"/>
              <w:rPr>
                <w:sz w:val="20"/>
                <w:szCs w:val="20"/>
              </w:rPr>
            </w:pPr>
            <w:r w:rsidRPr="001B1308">
              <w:rPr>
                <w:sz w:val="20"/>
                <w:szCs w:val="20"/>
              </w:rPr>
              <w:t>75%</w:t>
            </w:r>
          </w:p>
        </w:tc>
        <w:tc>
          <w:tcPr>
            <w:tcW w:w="2337" w:type="dxa"/>
          </w:tcPr>
          <w:p w14:paraId="6F74323C" w14:textId="77777777" w:rsidR="00F64C08" w:rsidRPr="001B1308" w:rsidRDefault="00E32CFC" w:rsidP="00F1758F">
            <w:pPr>
              <w:spacing w:line="360" w:lineRule="auto"/>
              <w:rPr>
                <w:sz w:val="20"/>
                <w:szCs w:val="20"/>
              </w:rPr>
            </w:pPr>
            <w:r w:rsidRPr="001B1308">
              <w:rPr>
                <w:sz w:val="20"/>
                <w:szCs w:val="20"/>
              </w:rPr>
              <w:t>94%</w:t>
            </w:r>
          </w:p>
        </w:tc>
      </w:tr>
      <w:tr w:rsidR="00F64C08" w14:paraId="6F743242" w14:textId="77777777" w:rsidTr="007502C9">
        <w:tc>
          <w:tcPr>
            <w:tcW w:w="4878" w:type="dxa"/>
          </w:tcPr>
          <w:p w14:paraId="6F74323E" w14:textId="77777777" w:rsidR="00F64C08" w:rsidRPr="001B1308" w:rsidRDefault="00F64C08" w:rsidP="00F1758F">
            <w:pPr>
              <w:spacing w:line="360" w:lineRule="auto"/>
              <w:rPr>
                <w:sz w:val="20"/>
                <w:szCs w:val="20"/>
              </w:rPr>
            </w:pPr>
            <w:r w:rsidRPr="001B1308">
              <w:rPr>
                <w:sz w:val="20"/>
                <w:szCs w:val="20"/>
              </w:rPr>
              <w:t xml:space="preserve">Ambulatory </w:t>
            </w:r>
            <w:r w:rsidR="00BE2BB9" w:rsidRPr="001B1308">
              <w:rPr>
                <w:sz w:val="20"/>
                <w:szCs w:val="20"/>
              </w:rPr>
              <w:t xml:space="preserve">EHRs </w:t>
            </w:r>
            <w:r w:rsidRPr="001B1308">
              <w:rPr>
                <w:sz w:val="20"/>
                <w:szCs w:val="20"/>
              </w:rPr>
              <w:t>that met 170.302(m)</w:t>
            </w:r>
          </w:p>
        </w:tc>
        <w:tc>
          <w:tcPr>
            <w:tcW w:w="900" w:type="dxa"/>
          </w:tcPr>
          <w:p w14:paraId="6F74323F" w14:textId="77777777" w:rsidR="00F64C08" w:rsidRPr="001B1308" w:rsidRDefault="007C38CD" w:rsidP="00F1758F">
            <w:pPr>
              <w:spacing w:line="360" w:lineRule="auto"/>
              <w:rPr>
                <w:sz w:val="20"/>
                <w:szCs w:val="20"/>
              </w:rPr>
            </w:pPr>
            <w:r w:rsidRPr="001B1308">
              <w:rPr>
                <w:sz w:val="20"/>
                <w:szCs w:val="20"/>
              </w:rPr>
              <w:t>63</w:t>
            </w:r>
          </w:p>
        </w:tc>
        <w:tc>
          <w:tcPr>
            <w:tcW w:w="1350" w:type="dxa"/>
          </w:tcPr>
          <w:p w14:paraId="6F743240" w14:textId="77777777" w:rsidR="00F64C08" w:rsidRPr="001B1308" w:rsidRDefault="007C38CD" w:rsidP="00F1758F">
            <w:pPr>
              <w:spacing w:line="360" w:lineRule="auto"/>
              <w:rPr>
                <w:sz w:val="20"/>
                <w:szCs w:val="20"/>
              </w:rPr>
            </w:pPr>
            <w:r w:rsidRPr="001B1308">
              <w:rPr>
                <w:sz w:val="20"/>
                <w:szCs w:val="20"/>
              </w:rPr>
              <w:t>60.6%</w:t>
            </w:r>
          </w:p>
        </w:tc>
        <w:tc>
          <w:tcPr>
            <w:tcW w:w="2337" w:type="dxa"/>
          </w:tcPr>
          <w:p w14:paraId="6F743241" w14:textId="77777777" w:rsidR="00F64C08" w:rsidRPr="001B1308" w:rsidRDefault="007C38CD" w:rsidP="00F1758F">
            <w:pPr>
              <w:spacing w:line="360" w:lineRule="auto"/>
              <w:rPr>
                <w:sz w:val="20"/>
                <w:szCs w:val="20"/>
              </w:rPr>
            </w:pPr>
            <w:r w:rsidRPr="001B1308">
              <w:rPr>
                <w:sz w:val="20"/>
                <w:szCs w:val="20"/>
              </w:rPr>
              <w:t>75.9%</w:t>
            </w:r>
          </w:p>
        </w:tc>
      </w:tr>
      <w:tr w:rsidR="00F64C08" w14:paraId="6F743247" w14:textId="77777777" w:rsidTr="007502C9">
        <w:tc>
          <w:tcPr>
            <w:tcW w:w="4878" w:type="dxa"/>
          </w:tcPr>
          <w:p w14:paraId="6F743243" w14:textId="77777777" w:rsidR="00F64C08" w:rsidRPr="001B1308" w:rsidRDefault="00F64C08" w:rsidP="00F1758F">
            <w:pPr>
              <w:spacing w:line="360" w:lineRule="auto"/>
              <w:rPr>
                <w:sz w:val="20"/>
                <w:szCs w:val="20"/>
              </w:rPr>
            </w:pPr>
            <w:r w:rsidRPr="001B1308">
              <w:rPr>
                <w:sz w:val="20"/>
                <w:szCs w:val="20"/>
              </w:rPr>
              <w:t xml:space="preserve">Inpatient </w:t>
            </w:r>
            <w:r w:rsidR="00BE2BB9" w:rsidRPr="001B1308">
              <w:rPr>
                <w:sz w:val="20"/>
                <w:szCs w:val="20"/>
              </w:rPr>
              <w:t>EHRs</w:t>
            </w:r>
          </w:p>
        </w:tc>
        <w:tc>
          <w:tcPr>
            <w:tcW w:w="900" w:type="dxa"/>
          </w:tcPr>
          <w:p w14:paraId="6F743244" w14:textId="77777777" w:rsidR="00F64C08" w:rsidRPr="001B1308" w:rsidRDefault="00E32CFC" w:rsidP="00F1758F">
            <w:pPr>
              <w:spacing w:line="360" w:lineRule="auto"/>
              <w:rPr>
                <w:sz w:val="20"/>
                <w:szCs w:val="20"/>
              </w:rPr>
            </w:pPr>
            <w:r w:rsidRPr="001B1308">
              <w:rPr>
                <w:sz w:val="20"/>
                <w:szCs w:val="20"/>
              </w:rPr>
              <w:t>26</w:t>
            </w:r>
          </w:p>
        </w:tc>
        <w:tc>
          <w:tcPr>
            <w:tcW w:w="1350" w:type="dxa"/>
          </w:tcPr>
          <w:p w14:paraId="6F743245" w14:textId="77777777" w:rsidR="00F64C08" w:rsidRPr="001B1308" w:rsidRDefault="007C38CD" w:rsidP="00F1758F">
            <w:pPr>
              <w:spacing w:line="360" w:lineRule="auto"/>
              <w:rPr>
                <w:sz w:val="20"/>
                <w:szCs w:val="20"/>
              </w:rPr>
            </w:pPr>
            <w:r w:rsidRPr="001B1308">
              <w:rPr>
                <w:sz w:val="20"/>
                <w:szCs w:val="20"/>
              </w:rPr>
              <w:t>25%</w:t>
            </w:r>
          </w:p>
        </w:tc>
        <w:tc>
          <w:tcPr>
            <w:tcW w:w="2337" w:type="dxa"/>
          </w:tcPr>
          <w:p w14:paraId="6F743246" w14:textId="77777777" w:rsidR="00F64C08" w:rsidRPr="001B1308" w:rsidRDefault="007C38CD" w:rsidP="00F1758F">
            <w:pPr>
              <w:spacing w:line="360" w:lineRule="auto"/>
              <w:rPr>
                <w:sz w:val="20"/>
                <w:szCs w:val="20"/>
              </w:rPr>
            </w:pPr>
            <w:r w:rsidRPr="001B1308">
              <w:rPr>
                <w:sz w:val="20"/>
                <w:szCs w:val="20"/>
              </w:rPr>
              <w:t>31.3%</w:t>
            </w:r>
          </w:p>
        </w:tc>
      </w:tr>
      <w:tr w:rsidR="00F64C08" w14:paraId="6F74324C" w14:textId="77777777" w:rsidTr="007502C9">
        <w:tc>
          <w:tcPr>
            <w:tcW w:w="4878" w:type="dxa"/>
          </w:tcPr>
          <w:p w14:paraId="6F743248" w14:textId="77777777" w:rsidR="00F64C08" w:rsidRPr="001B1308" w:rsidRDefault="00F64C08" w:rsidP="00F1758F">
            <w:pPr>
              <w:spacing w:line="360" w:lineRule="auto"/>
              <w:rPr>
                <w:sz w:val="20"/>
                <w:szCs w:val="20"/>
              </w:rPr>
            </w:pPr>
            <w:r w:rsidRPr="001B1308">
              <w:rPr>
                <w:sz w:val="20"/>
                <w:szCs w:val="20"/>
              </w:rPr>
              <w:t xml:space="preserve">Inpatient </w:t>
            </w:r>
            <w:r w:rsidR="00BE2BB9" w:rsidRPr="001B1308">
              <w:rPr>
                <w:sz w:val="20"/>
                <w:szCs w:val="20"/>
              </w:rPr>
              <w:t xml:space="preserve">EHRs </w:t>
            </w:r>
            <w:r w:rsidRPr="001B1308">
              <w:rPr>
                <w:sz w:val="20"/>
                <w:szCs w:val="20"/>
              </w:rPr>
              <w:t>that met 170.302(m)</w:t>
            </w:r>
          </w:p>
        </w:tc>
        <w:tc>
          <w:tcPr>
            <w:tcW w:w="900" w:type="dxa"/>
          </w:tcPr>
          <w:p w14:paraId="6F743249" w14:textId="77777777" w:rsidR="00F64C08" w:rsidRPr="001B1308" w:rsidRDefault="007C38CD" w:rsidP="00F1758F">
            <w:pPr>
              <w:spacing w:line="360" w:lineRule="auto"/>
              <w:rPr>
                <w:sz w:val="20"/>
                <w:szCs w:val="20"/>
              </w:rPr>
            </w:pPr>
            <w:r w:rsidRPr="001B1308">
              <w:rPr>
                <w:sz w:val="20"/>
                <w:szCs w:val="20"/>
              </w:rPr>
              <w:t>20</w:t>
            </w:r>
          </w:p>
        </w:tc>
        <w:tc>
          <w:tcPr>
            <w:tcW w:w="1350" w:type="dxa"/>
          </w:tcPr>
          <w:p w14:paraId="6F74324A" w14:textId="77777777" w:rsidR="00F64C08" w:rsidRPr="001B1308" w:rsidRDefault="007C38CD" w:rsidP="00F1758F">
            <w:pPr>
              <w:spacing w:line="360" w:lineRule="auto"/>
              <w:rPr>
                <w:sz w:val="20"/>
                <w:szCs w:val="20"/>
              </w:rPr>
            </w:pPr>
            <w:r w:rsidRPr="001B1308">
              <w:rPr>
                <w:sz w:val="20"/>
                <w:szCs w:val="20"/>
              </w:rPr>
              <w:t>19.2%</w:t>
            </w:r>
          </w:p>
        </w:tc>
        <w:tc>
          <w:tcPr>
            <w:tcW w:w="2337" w:type="dxa"/>
          </w:tcPr>
          <w:p w14:paraId="6F74324B" w14:textId="77777777" w:rsidR="00F64C08" w:rsidRPr="001B1308" w:rsidRDefault="007C38CD" w:rsidP="00F1758F">
            <w:pPr>
              <w:spacing w:line="360" w:lineRule="auto"/>
              <w:rPr>
                <w:sz w:val="20"/>
                <w:szCs w:val="20"/>
              </w:rPr>
            </w:pPr>
            <w:r w:rsidRPr="001B1308">
              <w:rPr>
                <w:sz w:val="20"/>
                <w:szCs w:val="20"/>
              </w:rPr>
              <w:t>24.1%</w:t>
            </w:r>
          </w:p>
        </w:tc>
      </w:tr>
    </w:tbl>
    <w:p w14:paraId="6F74324D" w14:textId="77777777" w:rsidR="00031A02" w:rsidRDefault="00031A02" w:rsidP="00F1758F">
      <w:pPr>
        <w:spacing w:line="360" w:lineRule="auto"/>
        <w:contextualSpacing/>
        <w:rPr>
          <w:rFonts w:ascii="Times New Roman" w:hAnsi="Times New Roman" w:cs="Times New Roman"/>
          <w:sz w:val="24"/>
          <w:szCs w:val="24"/>
        </w:rPr>
      </w:pPr>
    </w:p>
    <w:p w14:paraId="6F74324E" w14:textId="77777777" w:rsidR="00A83D4E" w:rsidRDefault="002C4504" w:rsidP="00F1758F">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 total of </w:t>
      </w:r>
      <w:r w:rsidR="007D39B7">
        <w:rPr>
          <w:rFonts w:ascii="Times New Roman" w:hAnsi="Times New Roman" w:cs="Times New Roman"/>
          <w:sz w:val="24"/>
          <w:szCs w:val="24"/>
        </w:rPr>
        <w:t>13</w:t>
      </w:r>
      <w:r>
        <w:rPr>
          <w:rFonts w:ascii="Times New Roman" w:hAnsi="Times New Roman" w:cs="Times New Roman"/>
          <w:sz w:val="24"/>
          <w:szCs w:val="24"/>
        </w:rPr>
        <w:t xml:space="preserve"> </w:t>
      </w:r>
      <w:r w:rsidR="008979B0">
        <w:rPr>
          <w:rFonts w:ascii="Times New Roman" w:hAnsi="Times New Roman" w:cs="Times New Roman"/>
          <w:sz w:val="24"/>
          <w:szCs w:val="24"/>
        </w:rPr>
        <w:t xml:space="preserve">patient-specific education information sources </w:t>
      </w:r>
      <w:r>
        <w:rPr>
          <w:rFonts w:ascii="Times New Roman" w:hAnsi="Times New Roman" w:cs="Times New Roman"/>
          <w:sz w:val="24"/>
          <w:szCs w:val="24"/>
        </w:rPr>
        <w:t xml:space="preserve">resulted from the environmental scan. </w:t>
      </w:r>
      <w:r w:rsidR="00AD3DC8" w:rsidRPr="00AD3DC8">
        <w:rPr>
          <w:rFonts w:ascii="Times New Roman" w:hAnsi="Times New Roman" w:cs="Times New Roman"/>
          <w:i/>
          <w:sz w:val="24"/>
          <w:szCs w:val="24"/>
        </w:rPr>
        <w:t xml:space="preserve">Appendix </w:t>
      </w:r>
      <w:r w:rsidR="006C4175">
        <w:rPr>
          <w:rFonts w:ascii="Times New Roman" w:hAnsi="Times New Roman" w:cs="Times New Roman"/>
          <w:i/>
          <w:sz w:val="24"/>
          <w:szCs w:val="24"/>
        </w:rPr>
        <w:t>D</w:t>
      </w:r>
      <w:r w:rsidR="00AD3DC8" w:rsidRPr="00AD3DC8">
        <w:rPr>
          <w:rFonts w:ascii="Times New Roman" w:hAnsi="Times New Roman" w:cs="Times New Roman"/>
          <w:i/>
          <w:sz w:val="24"/>
          <w:szCs w:val="24"/>
        </w:rPr>
        <w:t>: Patient-Specific Education Resources</w:t>
      </w:r>
      <w:r w:rsidR="00BD1F78">
        <w:rPr>
          <w:rFonts w:ascii="Times New Roman" w:hAnsi="Times New Roman" w:cs="Times New Roman"/>
          <w:sz w:val="24"/>
          <w:szCs w:val="24"/>
        </w:rPr>
        <w:t xml:space="preserve"> provides the </w:t>
      </w:r>
      <w:r w:rsidR="00E01D0D">
        <w:rPr>
          <w:rFonts w:ascii="Times New Roman" w:hAnsi="Times New Roman" w:cs="Times New Roman"/>
          <w:sz w:val="24"/>
          <w:szCs w:val="24"/>
        </w:rPr>
        <w:t xml:space="preserve">patient education resource </w:t>
      </w:r>
      <w:r w:rsidR="00BD1F78">
        <w:rPr>
          <w:rFonts w:ascii="Times New Roman" w:hAnsi="Times New Roman" w:cs="Times New Roman"/>
          <w:sz w:val="24"/>
          <w:szCs w:val="24"/>
        </w:rPr>
        <w:t>names</w:t>
      </w:r>
      <w:r w:rsidR="00E01D0D">
        <w:rPr>
          <w:rFonts w:ascii="Times New Roman" w:hAnsi="Times New Roman" w:cs="Times New Roman"/>
          <w:sz w:val="24"/>
          <w:szCs w:val="24"/>
        </w:rPr>
        <w:t xml:space="preserve"> and websites</w:t>
      </w:r>
      <w:r w:rsidR="00BD1F78">
        <w:rPr>
          <w:rFonts w:ascii="Times New Roman" w:hAnsi="Times New Roman" w:cs="Times New Roman"/>
          <w:sz w:val="24"/>
          <w:szCs w:val="24"/>
        </w:rPr>
        <w:t xml:space="preserve">, vendors/products that </w:t>
      </w:r>
      <w:r w:rsidR="00E01D0D">
        <w:rPr>
          <w:rFonts w:ascii="Times New Roman" w:hAnsi="Times New Roman" w:cs="Times New Roman"/>
          <w:sz w:val="24"/>
          <w:szCs w:val="24"/>
        </w:rPr>
        <w:t xml:space="preserve">mention </w:t>
      </w:r>
      <w:r w:rsidR="00BD1F78">
        <w:rPr>
          <w:rFonts w:ascii="Times New Roman" w:hAnsi="Times New Roman" w:cs="Times New Roman"/>
          <w:sz w:val="24"/>
          <w:szCs w:val="24"/>
        </w:rPr>
        <w:t>the information source</w:t>
      </w:r>
      <w:r w:rsidR="00E01D0D">
        <w:rPr>
          <w:rFonts w:ascii="Times New Roman" w:hAnsi="Times New Roman" w:cs="Times New Roman"/>
          <w:sz w:val="24"/>
          <w:szCs w:val="24"/>
        </w:rPr>
        <w:t xml:space="preserve"> as a product partner or specific patient education vendor on their website</w:t>
      </w:r>
      <w:r w:rsidR="00BD1F78">
        <w:rPr>
          <w:rFonts w:ascii="Times New Roman" w:hAnsi="Times New Roman" w:cs="Times New Roman"/>
          <w:sz w:val="24"/>
          <w:szCs w:val="24"/>
        </w:rPr>
        <w:t>, and a brief description.</w:t>
      </w:r>
      <w:r w:rsidR="00E01D0D">
        <w:rPr>
          <w:rFonts w:ascii="Times New Roman" w:hAnsi="Times New Roman" w:cs="Times New Roman"/>
          <w:sz w:val="24"/>
          <w:szCs w:val="24"/>
        </w:rPr>
        <w:t xml:space="preserve"> Six sources were used by two or more EHR systems:</w:t>
      </w:r>
    </w:p>
    <w:p w14:paraId="6F74324F" w14:textId="77777777" w:rsidR="00E01D0D" w:rsidRDefault="00E01D0D" w:rsidP="00F1758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A.D.A.M.</w:t>
      </w:r>
    </w:p>
    <w:p w14:paraId="6F743250" w14:textId="77777777" w:rsidR="00E01D0D" w:rsidRDefault="00E01D0D" w:rsidP="00F1758F">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Krames</w:t>
      </w:r>
      <w:proofErr w:type="spellEnd"/>
      <w:r>
        <w:rPr>
          <w:rFonts w:ascii="Times New Roman" w:hAnsi="Times New Roman" w:cs="Times New Roman"/>
          <w:sz w:val="24"/>
          <w:szCs w:val="24"/>
        </w:rPr>
        <w:t xml:space="preserve"> (including </w:t>
      </w:r>
      <w:proofErr w:type="spellStart"/>
      <w:r>
        <w:rPr>
          <w:rFonts w:ascii="Times New Roman" w:hAnsi="Times New Roman" w:cs="Times New Roman"/>
          <w:sz w:val="24"/>
          <w:szCs w:val="24"/>
        </w:rPr>
        <w:t>Krames</w:t>
      </w:r>
      <w:proofErr w:type="spellEnd"/>
      <w:r>
        <w:rPr>
          <w:rFonts w:ascii="Times New Roman" w:hAnsi="Times New Roman" w:cs="Times New Roman"/>
          <w:sz w:val="24"/>
          <w:szCs w:val="24"/>
        </w:rPr>
        <w:t xml:space="preserve"> products: </w:t>
      </w:r>
      <w:proofErr w:type="spellStart"/>
      <w:r>
        <w:rPr>
          <w:rFonts w:ascii="Times New Roman" w:hAnsi="Times New Roman" w:cs="Times New Roman"/>
          <w:sz w:val="24"/>
          <w:szCs w:val="24"/>
        </w:rPr>
        <w:t>ExitWriter</w:t>
      </w:r>
      <w:proofErr w:type="spellEnd"/>
      <w:r>
        <w:rPr>
          <w:rFonts w:ascii="Times New Roman" w:hAnsi="Times New Roman" w:cs="Times New Roman"/>
          <w:sz w:val="24"/>
          <w:szCs w:val="24"/>
        </w:rPr>
        <w:t xml:space="preserve"> and wired.MD)</w:t>
      </w:r>
    </w:p>
    <w:p w14:paraId="6F743251" w14:textId="77777777" w:rsidR="00E01D0D" w:rsidRDefault="00E01D0D" w:rsidP="00F1758F">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HealthWise</w:t>
      </w:r>
      <w:proofErr w:type="spellEnd"/>
      <w:r>
        <w:rPr>
          <w:rFonts w:ascii="Times New Roman" w:hAnsi="Times New Roman" w:cs="Times New Roman"/>
          <w:sz w:val="24"/>
          <w:szCs w:val="24"/>
        </w:rPr>
        <w:t xml:space="preserve"> </w:t>
      </w:r>
    </w:p>
    <w:p w14:paraId="6F743252" w14:textId="77777777" w:rsidR="00E01D0D" w:rsidRDefault="00E01D0D" w:rsidP="00F1758F">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ExitCare</w:t>
      </w:r>
      <w:proofErr w:type="spellEnd"/>
    </w:p>
    <w:p w14:paraId="6F743253" w14:textId="77777777" w:rsidR="00E01D0D" w:rsidRDefault="00E01D0D" w:rsidP="00F1758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Clinical Reference Systems Advisors Series / </w:t>
      </w:r>
      <w:proofErr w:type="spellStart"/>
      <w:r>
        <w:rPr>
          <w:rFonts w:ascii="Times New Roman" w:hAnsi="Times New Roman" w:cs="Times New Roman"/>
          <w:sz w:val="24"/>
          <w:szCs w:val="24"/>
        </w:rPr>
        <w:t>RelayHealth</w:t>
      </w:r>
      <w:proofErr w:type="spellEnd"/>
    </w:p>
    <w:p w14:paraId="6F743254" w14:textId="77777777" w:rsidR="00E01D0D" w:rsidRPr="00E01D0D" w:rsidRDefault="00E01D0D" w:rsidP="00F1758F">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UpToDate</w:t>
      </w:r>
      <w:proofErr w:type="spellEnd"/>
      <w:r>
        <w:rPr>
          <w:rFonts w:ascii="Times New Roman" w:hAnsi="Times New Roman" w:cs="Times New Roman"/>
          <w:sz w:val="24"/>
          <w:szCs w:val="24"/>
        </w:rPr>
        <w:t xml:space="preserve"> (Wolters Kluwer)</w:t>
      </w:r>
    </w:p>
    <w:p w14:paraId="6F743255" w14:textId="77777777" w:rsidR="001D4E0C" w:rsidRPr="002B7283" w:rsidRDefault="001D4E0C" w:rsidP="002B7283">
      <w:pPr>
        <w:pStyle w:val="Heading1"/>
        <w:rPr>
          <w:color w:val="auto"/>
        </w:rPr>
      </w:pPr>
      <w:bookmarkStart w:id="28" w:name="_Toc284948716"/>
      <w:r w:rsidRPr="002B7283">
        <w:rPr>
          <w:color w:val="auto"/>
        </w:rPr>
        <w:t>Discussion</w:t>
      </w:r>
      <w:bookmarkEnd w:id="28"/>
    </w:p>
    <w:p w14:paraId="6F743256" w14:textId="6236B6DD" w:rsidR="00437C49" w:rsidRPr="006751D5" w:rsidRDefault="009354A4"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sidRPr="006751D5">
        <w:rPr>
          <w:rFonts w:ascii="Times New Roman" w:eastAsia="Times New Roman" w:hAnsi="Times New Roman" w:cs="Times New Roman"/>
          <w:color w:val="000000"/>
          <w:sz w:val="24"/>
          <w:szCs w:val="24"/>
        </w:rPr>
        <w:t xml:space="preserve">The environmental scan of certified EHRs that </w:t>
      </w:r>
      <w:r w:rsidR="00AD3DC8">
        <w:rPr>
          <w:rFonts w:ascii="Times New Roman" w:eastAsia="Times New Roman" w:hAnsi="Times New Roman" w:cs="Times New Roman"/>
          <w:color w:val="000000"/>
          <w:sz w:val="24"/>
          <w:szCs w:val="24"/>
        </w:rPr>
        <w:t>met</w:t>
      </w:r>
      <w:r w:rsidRPr="006751D5">
        <w:rPr>
          <w:rFonts w:ascii="Times New Roman" w:eastAsia="Times New Roman" w:hAnsi="Times New Roman" w:cs="Times New Roman"/>
          <w:color w:val="000000"/>
          <w:sz w:val="24"/>
          <w:szCs w:val="24"/>
        </w:rPr>
        <w:t xml:space="preserve"> the 170.302(m) certification criteria provided a number of </w:t>
      </w:r>
      <w:r w:rsidR="004C3819" w:rsidRPr="006751D5">
        <w:rPr>
          <w:rFonts w:ascii="Times New Roman" w:eastAsia="Times New Roman" w:hAnsi="Times New Roman" w:cs="Times New Roman"/>
          <w:color w:val="000000"/>
          <w:sz w:val="24"/>
          <w:szCs w:val="24"/>
        </w:rPr>
        <w:t xml:space="preserve">interesting results. </w:t>
      </w:r>
      <w:r w:rsidR="00AD3DC8">
        <w:rPr>
          <w:rFonts w:ascii="Times New Roman" w:eastAsia="Times New Roman" w:hAnsi="Times New Roman" w:cs="Times New Roman"/>
          <w:color w:val="000000"/>
          <w:sz w:val="24"/>
          <w:szCs w:val="24"/>
        </w:rPr>
        <w:t>I</w:t>
      </w:r>
      <w:r w:rsidRPr="006751D5">
        <w:rPr>
          <w:rFonts w:ascii="Times New Roman" w:eastAsia="Times New Roman" w:hAnsi="Times New Roman" w:cs="Times New Roman"/>
          <w:color w:val="000000"/>
          <w:sz w:val="24"/>
          <w:szCs w:val="24"/>
        </w:rPr>
        <w:t xml:space="preserve">nformation on patient-specific education resources was </w:t>
      </w:r>
      <w:r w:rsidR="00AD3DC8">
        <w:rPr>
          <w:rFonts w:ascii="Times New Roman" w:eastAsia="Times New Roman" w:hAnsi="Times New Roman" w:cs="Times New Roman"/>
          <w:color w:val="000000"/>
          <w:sz w:val="24"/>
          <w:szCs w:val="24"/>
        </w:rPr>
        <w:t xml:space="preserve">generally </w:t>
      </w:r>
      <w:r w:rsidRPr="006751D5">
        <w:rPr>
          <w:rFonts w:ascii="Times New Roman" w:eastAsia="Times New Roman" w:hAnsi="Times New Roman" w:cs="Times New Roman"/>
          <w:color w:val="000000"/>
          <w:sz w:val="24"/>
          <w:szCs w:val="24"/>
        </w:rPr>
        <w:t>difficult to find</w:t>
      </w:r>
      <w:r w:rsidR="004C3819" w:rsidRPr="006751D5">
        <w:rPr>
          <w:rFonts w:ascii="Times New Roman" w:eastAsia="Times New Roman" w:hAnsi="Times New Roman" w:cs="Times New Roman"/>
          <w:color w:val="000000"/>
          <w:sz w:val="24"/>
          <w:szCs w:val="24"/>
        </w:rPr>
        <w:t xml:space="preserve"> and not readily available</w:t>
      </w:r>
      <w:r w:rsidRPr="006751D5">
        <w:rPr>
          <w:rFonts w:ascii="Times New Roman" w:eastAsia="Times New Roman" w:hAnsi="Times New Roman" w:cs="Times New Roman"/>
          <w:color w:val="000000"/>
          <w:sz w:val="24"/>
          <w:szCs w:val="24"/>
        </w:rPr>
        <w:t xml:space="preserve">. When available, this information was </w:t>
      </w:r>
      <w:r w:rsidR="00AD3DC8">
        <w:rPr>
          <w:rFonts w:ascii="Times New Roman" w:eastAsia="Times New Roman" w:hAnsi="Times New Roman" w:cs="Times New Roman"/>
          <w:color w:val="000000"/>
          <w:sz w:val="24"/>
          <w:szCs w:val="24"/>
        </w:rPr>
        <w:t>often</w:t>
      </w:r>
      <w:r w:rsidRPr="006751D5">
        <w:rPr>
          <w:rFonts w:ascii="Times New Roman" w:eastAsia="Times New Roman" w:hAnsi="Times New Roman" w:cs="Times New Roman"/>
          <w:color w:val="000000"/>
          <w:sz w:val="24"/>
          <w:szCs w:val="24"/>
        </w:rPr>
        <w:t xml:space="preserve"> </w:t>
      </w:r>
      <w:r w:rsidRPr="006751D5">
        <w:rPr>
          <w:rFonts w:ascii="Times New Roman" w:eastAsia="Times New Roman" w:hAnsi="Times New Roman" w:cs="Times New Roman"/>
          <w:color w:val="000000"/>
          <w:sz w:val="24"/>
          <w:szCs w:val="24"/>
        </w:rPr>
        <w:lastRenderedPageBreak/>
        <w:t>found on the partners section of a vendor website and did not explicitly sta</w:t>
      </w:r>
      <w:r w:rsidR="00F2426C">
        <w:rPr>
          <w:rFonts w:ascii="Times New Roman" w:eastAsia="Times New Roman" w:hAnsi="Times New Roman" w:cs="Times New Roman"/>
          <w:color w:val="000000"/>
          <w:sz w:val="24"/>
          <w:szCs w:val="24"/>
        </w:rPr>
        <w:t>te that it</w:t>
      </w:r>
      <w:r w:rsidRPr="006751D5">
        <w:rPr>
          <w:rFonts w:ascii="Times New Roman" w:eastAsia="Times New Roman" w:hAnsi="Times New Roman" w:cs="Times New Roman"/>
          <w:color w:val="000000"/>
          <w:sz w:val="24"/>
          <w:szCs w:val="24"/>
        </w:rPr>
        <w:t xml:space="preserve"> provided patient education within the </w:t>
      </w:r>
      <w:r w:rsidR="004C3819" w:rsidRPr="006751D5">
        <w:rPr>
          <w:rFonts w:ascii="Times New Roman" w:eastAsia="Times New Roman" w:hAnsi="Times New Roman" w:cs="Times New Roman"/>
          <w:color w:val="000000"/>
          <w:sz w:val="24"/>
          <w:szCs w:val="24"/>
        </w:rPr>
        <w:t xml:space="preserve">certified </w:t>
      </w:r>
      <w:r w:rsidR="00F2426C">
        <w:rPr>
          <w:rFonts w:ascii="Times New Roman" w:eastAsia="Times New Roman" w:hAnsi="Times New Roman" w:cs="Times New Roman"/>
          <w:color w:val="000000"/>
          <w:sz w:val="24"/>
          <w:szCs w:val="24"/>
        </w:rPr>
        <w:t xml:space="preserve">EHR. </w:t>
      </w:r>
      <w:r w:rsidR="00D369E0">
        <w:rPr>
          <w:rFonts w:ascii="Times New Roman" w:eastAsia="Times New Roman" w:hAnsi="Times New Roman" w:cs="Times New Roman"/>
          <w:color w:val="000000"/>
          <w:sz w:val="24"/>
          <w:szCs w:val="24"/>
        </w:rPr>
        <w:t>EHR v</w:t>
      </w:r>
      <w:r w:rsidR="00F2426C">
        <w:rPr>
          <w:rFonts w:ascii="Times New Roman" w:eastAsia="Times New Roman" w:hAnsi="Times New Roman" w:cs="Times New Roman"/>
          <w:color w:val="000000"/>
          <w:sz w:val="24"/>
          <w:szCs w:val="24"/>
        </w:rPr>
        <w:t xml:space="preserve">endors </w:t>
      </w:r>
      <w:r w:rsidRPr="006751D5">
        <w:rPr>
          <w:rFonts w:ascii="Times New Roman" w:eastAsia="Times New Roman" w:hAnsi="Times New Roman" w:cs="Times New Roman"/>
          <w:color w:val="000000"/>
          <w:sz w:val="24"/>
          <w:szCs w:val="24"/>
        </w:rPr>
        <w:t xml:space="preserve">that explicitly stated who they used to meet the 170.302(m) certification criteria </w:t>
      </w:r>
      <w:r w:rsidR="00F2426C">
        <w:rPr>
          <w:rFonts w:ascii="Times New Roman" w:eastAsia="Times New Roman" w:hAnsi="Times New Roman" w:cs="Times New Roman"/>
          <w:color w:val="000000"/>
          <w:sz w:val="24"/>
          <w:szCs w:val="24"/>
        </w:rPr>
        <w:t xml:space="preserve">were infrequent. </w:t>
      </w:r>
      <w:r w:rsidR="00AB20AA">
        <w:rPr>
          <w:rFonts w:ascii="Times New Roman" w:eastAsia="Times New Roman" w:hAnsi="Times New Roman" w:cs="Times New Roman"/>
          <w:color w:val="000000"/>
          <w:sz w:val="24"/>
          <w:szCs w:val="24"/>
        </w:rPr>
        <w:t>User</w:t>
      </w:r>
      <w:r w:rsidR="00D369E0">
        <w:rPr>
          <w:rFonts w:ascii="Times New Roman" w:eastAsia="Times New Roman" w:hAnsi="Times New Roman" w:cs="Times New Roman"/>
          <w:color w:val="000000"/>
          <w:sz w:val="24"/>
          <w:szCs w:val="24"/>
        </w:rPr>
        <w:t xml:space="preserve">s should cautiously interpret patient-specific education resources used within certified EHRs because of </w:t>
      </w:r>
      <w:proofErr w:type="gramStart"/>
      <w:r w:rsidR="00D369E0">
        <w:rPr>
          <w:rFonts w:ascii="Times New Roman" w:eastAsia="Times New Roman" w:hAnsi="Times New Roman" w:cs="Times New Roman"/>
          <w:color w:val="000000"/>
          <w:sz w:val="24"/>
          <w:szCs w:val="24"/>
        </w:rPr>
        <w:t xml:space="preserve">the </w:t>
      </w:r>
      <w:r w:rsidR="00AB20AA">
        <w:rPr>
          <w:rFonts w:ascii="Times New Roman" w:eastAsia="Times New Roman" w:hAnsi="Times New Roman" w:cs="Times New Roman"/>
          <w:color w:val="000000"/>
          <w:sz w:val="24"/>
          <w:szCs w:val="24"/>
        </w:rPr>
        <w:t xml:space="preserve"> </w:t>
      </w:r>
      <w:r w:rsidR="006C4175">
        <w:rPr>
          <w:rFonts w:ascii="Times New Roman" w:eastAsia="Times New Roman" w:hAnsi="Times New Roman" w:cs="Times New Roman"/>
          <w:color w:val="000000"/>
          <w:sz w:val="24"/>
          <w:szCs w:val="24"/>
        </w:rPr>
        <w:t>ambiguous</w:t>
      </w:r>
      <w:proofErr w:type="gramEnd"/>
      <w:r w:rsidR="006C4175">
        <w:rPr>
          <w:rFonts w:ascii="Times New Roman" w:eastAsia="Times New Roman" w:hAnsi="Times New Roman" w:cs="Times New Roman"/>
          <w:color w:val="000000"/>
          <w:sz w:val="24"/>
          <w:szCs w:val="24"/>
        </w:rPr>
        <w:t xml:space="preserve"> relationship between information sources listed on t</w:t>
      </w:r>
      <w:r w:rsidR="00AB20AA">
        <w:rPr>
          <w:rFonts w:ascii="Times New Roman" w:eastAsia="Times New Roman" w:hAnsi="Times New Roman" w:cs="Times New Roman"/>
          <w:color w:val="000000"/>
          <w:sz w:val="24"/>
          <w:szCs w:val="24"/>
        </w:rPr>
        <w:t>he vendor’s partner sites</w:t>
      </w:r>
      <w:r w:rsidR="006C4175">
        <w:rPr>
          <w:rFonts w:ascii="Times New Roman" w:eastAsia="Times New Roman" w:hAnsi="Times New Roman" w:cs="Times New Roman"/>
          <w:color w:val="000000"/>
          <w:sz w:val="24"/>
          <w:szCs w:val="24"/>
        </w:rPr>
        <w:t xml:space="preserve">. While the final list of patient-specific education resources provides a good overview of additional products used to satisfy the 170.302(m) criteria, the list should also not be assumed to be exhaustive. </w:t>
      </w:r>
      <w:r w:rsidR="00F2426C">
        <w:rPr>
          <w:rFonts w:ascii="Times New Roman" w:eastAsia="Times New Roman" w:hAnsi="Times New Roman" w:cs="Times New Roman"/>
          <w:color w:val="000000"/>
          <w:sz w:val="24"/>
          <w:szCs w:val="24"/>
        </w:rPr>
        <w:t>Unfortunately, no good examples (demos or screenshots) were available to demonstrate how the patient-specific education resource is incorporated into the EHR workflow for the medic</w:t>
      </w:r>
      <w:r w:rsidR="00482457">
        <w:rPr>
          <w:rFonts w:ascii="Times New Roman" w:eastAsia="Times New Roman" w:hAnsi="Times New Roman" w:cs="Times New Roman"/>
          <w:color w:val="000000"/>
          <w:sz w:val="24"/>
          <w:szCs w:val="24"/>
        </w:rPr>
        <w:t>al intermediary or the patient.</w:t>
      </w:r>
    </w:p>
    <w:p w14:paraId="6F743257" w14:textId="77777777" w:rsidR="00DA2437" w:rsidRDefault="00DA2437" w:rsidP="00F1758F">
      <w:pPr>
        <w:spacing w:before="100" w:beforeAutospacing="1" w:after="100" w:afterAutospacing="1" w:line="360" w:lineRule="auto"/>
        <w:contextualSpacing/>
        <w:outlineLvl w:val="1"/>
        <w:rPr>
          <w:rFonts w:ascii="Times New Roman" w:eastAsia="Times New Roman" w:hAnsi="Times New Roman" w:cs="Times New Roman"/>
          <w:color w:val="000000"/>
          <w:sz w:val="24"/>
          <w:szCs w:val="24"/>
        </w:rPr>
      </w:pPr>
    </w:p>
    <w:p w14:paraId="6F743258" w14:textId="77777777" w:rsidR="00E01D0D" w:rsidRDefault="00E01D0D" w:rsidP="00F1758F">
      <w:pPr>
        <w:spacing w:before="100" w:beforeAutospacing="1" w:after="100" w:afterAutospacing="1" w:line="360" w:lineRule="auto"/>
        <w:contextualSpacing/>
        <w:outlineLvl w:val="1"/>
        <w:rPr>
          <w:rFonts w:ascii="Times New Roman" w:eastAsia="Times New Roman" w:hAnsi="Times New Roman" w:cs="Times New Roman"/>
          <w:color w:val="000000"/>
          <w:sz w:val="24"/>
          <w:szCs w:val="24"/>
        </w:rPr>
      </w:pPr>
      <w:bookmarkStart w:id="29" w:name="_Toc284948717"/>
      <w:r>
        <w:rPr>
          <w:rFonts w:ascii="Times New Roman" w:eastAsia="Times New Roman" w:hAnsi="Times New Roman" w:cs="Times New Roman"/>
          <w:color w:val="000000"/>
          <w:sz w:val="24"/>
          <w:szCs w:val="24"/>
        </w:rPr>
        <w:t xml:space="preserve">As noted above in Results, six sources were used by two or more EHR systems. </w:t>
      </w:r>
      <w:r w:rsidR="00A83493" w:rsidRPr="00B11ACD">
        <w:rPr>
          <w:rFonts w:ascii="Times New Roman" w:eastAsia="Times New Roman" w:hAnsi="Times New Roman" w:cs="Times New Roman"/>
          <w:color w:val="000000"/>
          <w:sz w:val="24"/>
          <w:szCs w:val="24"/>
        </w:rPr>
        <w:t xml:space="preserve">The final list </w:t>
      </w:r>
      <w:r w:rsidR="004C3819" w:rsidRPr="00B11ACD">
        <w:rPr>
          <w:rFonts w:ascii="Times New Roman" w:eastAsia="Times New Roman" w:hAnsi="Times New Roman" w:cs="Times New Roman"/>
          <w:color w:val="000000"/>
          <w:sz w:val="24"/>
          <w:szCs w:val="24"/>
        </w:rPr>
        <w:t>of patient-specific education sources of information is varied</w:t>
      </w:r>
      <w:r w:rsidR="00F2426C" w:rsidRPr="00B11ACD">
        <w:rPr>
          <w:rFonts w:ascii="Times New Roman" w:eastAsia="Times New Roman" w:hAnsi="Times New Roman" w:cs="Times New Roman"/>
          <w:color w:val="000000"/>
          <w:sz w:val="24"/>
          <w:szCs w:val="24"/>
        </w:rPr>
        <w:t xml:space="preserve"> and includes resources created by EHR vendors as well as licensed products. </w:t>
      </w:r>
      <w:r w:rsidR="004C3819" w:rsidRPr="00B11ACD">
        <w:rPr>
          <w:rFonts w:ascii="Times New Roman" w:eastAsia="Times New Roman" w:hAnsi="Times New Roman" w:cs="Times New Roman"/>
          <w:color w:val="000000"/>
          <w:sz w:val="24"/>
          <w:szCs w:val="24"/>
        </w:rPr>
        <w:t xml:space="preserve">Many of the sources, while competitors, </w:t>
      </w:r>
      <w:r w:rsidR="00F2426C" w:rsidRPr="00B11ACD">
        <w:rPr>
          <w:rFonts w:ascii="Times New Roman" w:eastAsia="Times New Roman" w:hAnsi="Times New Roman" w:cs="Times New Roman"/>
          <w:color w:val="000000"/>
          <w:sz w:val="24"/>
          <w:szCs w:val="24"/>
        </w:rPr>
        <w:t>list each other as partners or content providers</w:t>
      </w:r>
      <w:r w:rsidR="004C3819" w:rsidRPr="00B11ACD">
        <w:rPr>
          <w:rFonts w:ascii="Times New Roman" w:eastAsia="Times New Roman" w:hAnsi="Times New Roman" w:cs="Times New Roman"/>
          <w:color w:val="000000"/>
          <w:sz w:val="24"/>
          <w:szCs w:val="24"/>
        </w:rPr>
        <w:t xml:space="preserve">. The partnership dynamics between patient education sources and EHR </w:t>
      </w:r>
      <w:r w:rsidR="00D369E0">
        <w:rPr>
          <w:rFonts w:ascii="Times New Roman" w:eastAsia="Times New Roman" w:hAnsi="Times New Roman" w:cs="Times New Roman"/>
          <w:color w:val="000000"/>
          <w:sz w:val="24"/>
          <w:szCs w:val="24"/>
        </w:rPr>
        <w:t>systems</w:t>
      </w:r>
      <w:r w:rsidR="00D369E0" w:rsidRPr="00B11ACD">
        <w:rPr>
          <w:rFonts w:ascii="Times New Roman" w:eastAsia="Times New Roman" w:hAnsi="Times New Roman" w:cs="Times New Roman"/>
          <w:color w:val="000000"/>
          <w:sz w:val="24"/>
          <w:szCs w:val="24"/>
        </w:rPr>
        <w:t xml:space="preserve"> </w:t>
      </w:r>
      <w:r w:rsidR="004C3819" w:rsidRPr="00B11ACD">
        <w:rPr>
          <w:rFonts w:ascii="Times New Roman" w:eastAsia="Times New Roman" w:hAnsi="Times New Roman" w:cs="Times New Roman"/>
          <w:color w:val="000000"/>
          <w:sz w:val="24"/>
          <w:szCs w:val="24"/>
        </w:rPr>
        <w:t xml:space="preserve">is complex and frankly confusing. For example, McKesson uses the Clinical Reference Systems Advisors Series from </w:t>
      </w:r>
      <w:proofErr w:type="spellStart"/>
      <w:r w:rsidR="004C3819" w:rsidRPr="00B11ACD">
        <w:rPr>
          <w:rFonts w:ascii="Times New Roman" w:eastAsia="Times New Roman" w:hAnsi="Times New Roman" w:cs="Times New Roman"/>
          <w:color w:val="000000"/>
          <w:sz w:val="24"/>
          <w:szCs w:val="24"/>
        </w:rPr>
        <w:t>RelayHealth</w:t>
      </w:r>
      <w:proofErr w:type="spellEnd"/>
      <w:r w:rsidR="004C3819" w:rsidRPr="00B11ACD">
        <w:rPr>
          <w:rFonts w:ascii="Times New Roman" w:eastAsia="Times New Roman" w:hAnsi="Times New Roman" w:cs="Times New Roman"/>
          <w:color w:val="000000"/>
          <w:sz w:val="24"/>
          <w:szCs w:val="24"/>
        </w:rPr>
        <w:t xml:space="preserve"> and </w:t>
      </w:r>
      <w:proofErr w:type="spellStart"/>
      <w:r w:rsidR="004C3819" w:rsidRPr="00B11ACD">
        <w:rPr>
          <w:rFonts w:ascii="Times New Roman" w:eastAsia="Times New Roman" w:hAnsi="Times New Roman" w:cs="Times New Roman"/>
          <w:color w:val="000000"/>
          <w:sz w:val="24"/>
          <w:szCs w:val="24"/>
        </w:rPr>
        <w:t>RelayHealth</w:t>
      </w:r>
      <w:proofErr w:type="spellEnd"/>
      <w:r w:rsidR="004C3819" w:rsidRPr="00B11ACD">
        <w:rPr>
          <w:rFonts w:ascii="Times New Roman" w:eastAsia="Times New Roman" w:hAnsi="Times New Roman" w:cs="Times New Roman"/>
          <w:color w:val="000000"/>
          <w:sz w:val="24"/>
          <w:szCs w:val="24"/>
        </w:rPr>
        <w:t xml:space="preserve"> is a division of McKesson. </w:t>
      </w:r>
      <w:r w:rsidR="00D115AC" w:rsidRPr="00B11ACD">
        <w:rPr>
          <w:rFonts w:ascii="Times New Roman" w:eastAsia="Times New Roman" w:hAnsi="Times New Roman" w:cs="Times New Roman"/>
          <w:color w:val="000000"/>
          <w:sz w:val="24"/>
          <w:szCs w:val="24"/>
        </w:rPr>
        <w:t>How exactly this influences the patient education resource</w:t>
      </w:r>
      <w:r w:rsidR="00D369E0">
        <w:rPr>
          <w:rFonts w:ascii="Times New Roman" w:eastAsia="Times New Roman" w:hAnsi="Times New Roman" w:cs="Times New Roman"/>
          <w:color w:val="000000"/>
          <w:sz w:val="24"/>
          <w:szCs w:val="24"/>
        </w:rPr>
        <w:t>, if at all,</w:t>
      </w:r>
      <w:r w:rsidR="00D115AC" w:rsidRPr="00B11ACD">
        <w:rPr>
          <w:rFonts w:ascii="Times New Roman" w:eastAsia="Times New Roman" w:hAnsi="Times New Roman" w:cs="Times New Roman"/>
          <w:color w:val="000000"/>
          <w:sz w:val="24"/>
          <w:szCs w:val="24"/>
        </w:rPr>
        <w:t xml:space="preserve"> is uncertain. Many patient resources provide information from A.D.A.M. (e.g., Micromedex/Thomson Reuters, </w:t>
      </w:r>
      <w:proofErr w:type="spellStart"/>
      <w:r w:rsidR="00D115AC" w:rsidRPr="00B11ACD">
        <w:rPr>
          <w:rFonts w:ascii="Times New Roman" w:eastAsia="Times New Roman" w:hAnsi="Times New Roman" w:cs="Times New Roman"/>
          <w:color w:val="000000"/>
          <w:sz w:val="24"/>
          <w:szCs w:val="24"/>
        </w:rPr>
        <w:t>Healthline</w:t>
      </w:r>
      <w:proofErr w:type="spellEnd"/>
      <w:r w:rsidR="00D115AC" w:rsidRPr="00B11ACD">
        <w:rPr>
          <w:rFonts w:ascii="Times New Roman" w:eastAsia="Times New Roman" w:hAnsi="Times New Roman" w:cs="Times New Roman"/>
          <w:color w:val="000000"/>
          <w:sz w:val="24"/>
          <w:szCs w:val="24"/>
        </w:rPr>
        <w:t xml:space="preserve"> Networks) but A.D.A.M. is also used on its own as a provider of patient education within EHR systems.</w:t>
      </w:r>
      <w:bookmarkEnd w:id="29"/>
      <w:r w:rsidR="00D115AC" w:rsidRPr="00B11ACD">
        <w:rPr>
          <w:rFonts w:ascii="Times New Roman" w:eastAsia="Times New Roman" w:hAnsi="Times New Roman" w:cs="Times New Roman"/>
          <w:color w:val="000000"/>
          <w:sz w:val="24"/>
          <w:szCs w:val="24"/>
        </w:rPr>
        <w:t xml:space="preserve"> </w:t>
      </w:r>
    </w:p>
    <w:p w14:paraId="6F743259" w14:textId="77777777" w:rsidR="00E01D0D" w:rsidRDefault="00E01D0D" w:rsidP="00F1758F">
      <w:pPr>
        <w:spacing w:before="100" w:beforeAutospacing="1" w:after="100" w:afterAutospacing="1" w:line="360" w:lineRule="auto"/>
        <w:contextualSpacing/>
        <w:outlineLvl w:val="1"/>
        <w:rPr>
          <w:rFonts w:ascii="Times New Roman" w:eastAsia="Times New Roman" w:hAnsi="Times New Roman" w:cs="Times New Roman"/>
          <w:color w:val="000000"/>
          <w:sz w:val="24"/>
          <w:szCs w:val="24"/>
        </w:rPr>
      </w:pPr>
    </w:p>
    <w:p w14:paraId="6F74325A" w14:textId="77777777" w:rsidR="00A83493" w:rsidRPr="00B11ACD" w:rsidRDefault="00CC5CE9" w:rsidP="00F1758F">
      <w:pPr>
        <w:spacing w:before="100" w:beforeAutospacing="1" w:after="100" w:afterAutospacing="1" w:line="360" w:lineRule="auto"/>
        <w:contextualSpacing/>
        <w:outlineLvl w:val="1"/>
        <w:rPr>
          <w:rFonts w:ascii="Times New Roman" w:eastAsia="Times New Roman" w:hAnsi="Times New Roman" w:cs="Times New Roman"/>
          <w:bCs/>
          <w:i/>
          <w:color w:val="000000"/>
          <w:sz w:val="24"/>
          <w:szCs w:val="24"/>
        </w:rPr>
      </w:pPr>
      <w:bookmarkStart w:id="30" w:name="_Toc284948718"/>
      <w:r>
        <w:rPr>
          <w:rFonts w:ascii="Times New Roman" w:eastAsia="Times New Roman" w:hAnsi="Times New Roman" w:cs="Times New Roman"/>
          <w:color w:val="000000"/>
          <w:sz w:val="24"/>
          <w:szCs w:val="24"/>
        </w:rPr>
        <w:t xml:space="preserve">At this time, the ONC does not require EHR vendors to state what products or outside vendors are used to meet each certification </w:t>
      </w:r>
      <w:r w:rsidR="00AB20AA">
        <w:rPr>
          <w:rFonts w:ascii="Times New Roman" w:eastAsia="Times New Roman" w:hAnsi="Times New Roman" w:cs="Times New Roman"/>
          <w:color w:val="000000"/>
          <w:sz w:val="24"/>
          <w:szCs w:val="24"/>
        </w:rPr>
        <w:t>criterion. It</w:t>
      </w:r>
      <w:r w:rsidR="00E01D0D">
        <w:rPr>
          <w:rFonts w:ascii="Times New Roman" w:eastAsia="Times New Roman" w:hAnsi="Times New Roman" w:cs="Times New Roman"/>
          <w:color w:val="000000"/>
          <w:sz w:val="24"/>
          <w:szCs w:val="24"/>
        </w:rPr>
        <w:t xml:space="preserve"> was often difficult to determine </w:t>
      </w:r>
      <w:r w:rsidR="00D369E0">
        <w:rPr>
          <w:rFonts w:ascii="Times New Roman" w:eastAsia="Times New Roman" w:hAnsi="Times New Roman" w:cs="Times New Roman"/>
          <w:color w:val="000000"/>
          <w:sz w:val="24"/>
          <w:szCs w:val="24"/>
        </w:rPr>
        <w:t xml:space="preserve">a vendor’s exact role within the EHR, including vendors </w:t>
      </w:r>
      <w:r w:rsidR="00E01D0D">
        <w:rPr>
          <w:rFonts w:ascii="Times New Roman" w:eastAsia="Times New Roman" w:hAnsi="Times New Roman" w:cs="Times New Roman"/>
          <w:color w:val="000000"/>
          <w:sz w:val="24"/>
          <w:szCs w:val="24"/>
        </w:rPr>
        <w:t>to consider as patient-specific education resources</w:t>
      </w:r>
      <w:r w:rsidR="004D2F01">
        <w:rPr>
          <w:rFonts w:ascii="Times New Roman" w:eastAsia="Times New Roman" w:hAnsi="Times New Roman" w:cs="Times New Roman"/>
          <w:color w:val="000000"/>
          <w:sz w:val="24"/>
          <w:szCs w:val="24"/>
        </w:rPr>
        <w:t xml:space="preserve">, </w:t>
      </w:r>
      <w:r w:rsidR="00B1054A">
        <w:rPr>
          <w:rFonts w:ascii="Times New Roman" w:eastAsia="Times New Roman" w:hAnsi="Times New Roman" w:cs="Times New Roman"/>
          <w:color w:val="000000"/>
          <w:sz w:val="24"/>
          <w:szCs w:val="24"/>
        </w:rPr>
        <w:t>when</w:t>
      </w:r>
      <w:r w:rsidR="004D2F01">
        <w:rPr>
          <w:rFonts w:ascii="Times New Roman" w:eastAsia="Times New Roman" w:hAnsi="Times New Roman" w:cs="Times New Roman"/>
          <w:color w:val="000000"/>
          <w:sz w:val="24"/>
          <w:szCs w:val="24"/>
        </w:rPr>
        <w:t xml:space="preserve"> they were only listed on a “partners” webpage</w:t>
      </w:r>
      <w:r w:rsidR="00E01D0D">
        <w:rPr>
          <w:rFonts w:ascii="Times New Roman" w:eastAsia="Times New Roman" w:hAnsi="Times New Roman" w:cs="Times New Roman"/>
          <w:color w:val="000000"/>
          <w:sz w:val="24"/>
          <w:szCs w:val="24"/>
        </w:rPr>
        <w:t xml:space="preserve">. While resources such as A.D.A.M. are widely considered as consumer health information resources others, such as </w:t>
      </w:r>
      <w:proofErr w:type="spellStart"/>
      <w:r w:rsidR="00E01D0D">
        <w:rPr>
          <w:rFonts w:ascii="Times New Roman" w:eastAsia="Times New Roman" w:hAnsi="Times New Roman" w:cs="Times New Roman"/>
          <w:color w:val="000000"/>
          <w:sz w:val="24"/>
          <w:szCs w:val="24"/>
        </w:rPr>
        <w:t>UpToDate</w:t>
      </w:r>
      <w:proofErr w:type="spellEnd"/>
      <w:r w:rsidR="00E01D0D">
        <w:rPr>
          <w:rFonts w:ascii="Times New Roman" w:eastAsia="Times New Roman" w:hAnsi="Times New Roman" w:cs="Times New Roman"/>
          <w:color w:val="000000"/>
          <w:sz w:val="24"/>
          <w:szCs w:val="24"/>
        </w:rPr>
        <w:t xml:space="preserve">, provide both clinical and consumer resources. </w:t>
      </w:r>
      <w:proofErr w:type="spellStart"/>
      <w:r w:rsidR="004D2F01">
        <w:rPr>
          <w:rFonts w:ascii="Times New Roman" w:eastAsia="Times New Roman" w:hAnsi="Times New Roman" w:cs="Times New Roman"/>
          <w:color w:val="000000"/>
          <w:sz w:val="24"/>
          <w:szCs w:val="24"/>
        </w:rPr>
        <w:t>UpToDate</w:t>
      </w:r>
      <w:proofErr w:type="spellEnd"/>
      <w:r w:rsidR="004D2F01">
        <w:rPr>
          <w:rFonts w:ascii="Times New Roman" w:eastAsia="Times New Roman" w:hAnsi="Times New Roman" w:cs="Times New Roman"/>
          <w:color w:val="000000"/>
          <w:sz w:val="24"/>
          <w:szCs w:val="24"/>
        </w:rPr>
        <w:t xml:space="preserve"> was included in the spreadsheet and final list. </w:t>
      </w:r>
      <w:r w:rsidR="004D2F01" w:rsidRPr="009354A4">
        <w:rPr>
          <w:rFonts w:ascii="Times New Roman" w:eastAsia="Times New Roman" w:hAnsi="Times New Roman" w:cs="Times New Roman"/>
          <w:color w:val="000000"/>
          <w:sz w:val="24"/>
          <w:szCs w:val="24"/>
        </w:rPr>
        <w:t xml:space="preserve">While the inclusion of </w:t>
      </w:r>
      <w:proofErr w:type="spellStart"/>
      <w:r w:rsidR="004D2F01" w:rsidRPr="009354A4">
        <w:rPr>
          <w:rFonts w:ascii="Times New Roman" w:eastAsia="Times New Roman" w:hAnsi="Times New Roman" w:cs="Times New Roman"/>
          <w:color w:val="000000"/>
          <w:sz w:val="24"/>
          <w:szCs w:val="24"/>
        </w:rPr>
        <w:t>UpToDate</w:t>
      </w:r>
      <w:proofErr w:type="spellEnd"/>
      <w:r w:rsidR="004D2F01" w:rsidRPr="009354A4">
        <w:rPr>
          <w:rFonts w:ascii="Times New Roman" w:eastAsia="Times New Roman" w:hAnsi="Times New Roman" w:cs="Times New Roman"/>
          <w:color w:val="000000"/>
          <w:sz w:val="24"/>
          <w:szCs w:val="24"/>
        </w:rPr>
        <w:t xml:space="preserve"> is potentially problematic </w:t>
      </w:r>
      <w:r w:rsidR="00D369E0">
        <w:rPr>
          <w:rFonts w:ascii="Times New Roman" w:eastAsia="Times New Roman" w:hAnsi="Times New Roman" w:cs="Times New Roman"/>
          <w:color w:val="000000"/>
          <w:sz w:val="24"/>
          <w:szCs w:val="24"/>
        </w:rPr>
        <w:t xml:space="preserve">because of the uncertainty of its role within EHRs, it was </w:t>
      </w:r>
      <w:r w:rsidR="004D2F01">
        <w:rPr>
          <w:rFonts w:ascii="Times New Roman" w:eastAsia="Times New Roman" w:hAnsi="Times New Roman" w:cs="Times New Roman"/>
          <w:color w:val="000000"/>
          <w:sz w:val="24"/>
          <w:szCs w:val="24"/>
        </w:rPr>
        <w:t>included because it</w:t>
      </w:r>
      <w:r w:rsidR="00761C3C">
        <w:rPr>
          <w:rFonts w:ascii="Times New Roman" w:eastAsia="Times New Roman" w:hAnsi="Times New Roman" w:cs="Times New Roman"/>
          <w:color w:val="000000"/>
          <w:sz w:val="24"/>
          <w:szCs w:val="24"/>
        </w:rPr>
        <w:t xml:space="preserve"> wa</w:t>
      </w:r>
      <w:r w:rsidR="004D2F01">
        <w:rPr>
          <w:rFonts w:ascii="Times New Roman" w:eastAsia="Times New Roman" w:hAnsi="Times New Roman" w:cs="Times New Roman"/>
          <w:color w:val="000000"/>
          <w:sz w:val="24"/>
          <w:szCs w:val="24"/>
        </w:rPr>
        <w:t>s list</w:t>
      </w:r>
      <w:r w:rsidR="00761C3C">
        <w:rPr>
          <w:rFonts w:ascii="Times New Roman" w:eastAsia="Times New Roman" w:hAnsi="Times New Roman" w:cs="Times New Roman"/>
          <w:color w:val="000000"/>
          <w:sz w:val="24"/>
          <w:szCs w:val="24"/>
        </w:rPr>
        <w:t xml:space="preserve">ed as a </w:t>
      </w:r>
      <w:r w:rsidR="00D0541F">
        <w:rPr>
          <w:rFonts w:ascii="Times New Roman" w:eastAsia="Times New Roman" w:hAnsi="Times New Roman" w:cs="Times New Roman"/>
          <w:color w:val="000000"/>
          <w:sz w:val="24"/>
          <w:szCs w:val="24"/>
        </w:rPr>
        <w:t xml:space="preserve">Patient Education </w:t>
      </w:r>
      <w:r w:rsidR="00761C3C">
        <w:rPr>
          <w:rFonts w:ascii="Times New Roman" w:eastAsia="Times New Roman" w:hAnsi="Times New Roman" w:cs="Times New Roman"/>
          <w:color w:val="000000"/>
          <w:sz w:val="24"/>
          <w:szCs w:val="24"/>
        </w:rPr>
        <w:t xml:space="preserve">“partner” </w:t>
      </w:r>
      <w:r w:rsidR="00D369E0">
        <w:rPr>
          <w:rFonts w:ascii="Times New Roman" w:eastAsia="Times New Roman" w:hAnsi="Times New Roman" w:cs="Times New Roman"/>
          <w:color w:val="000000"/>
          <w:sz w:val="24"/>
          <w:szCs w:val="24"/>
        </w:rPr>
        <w:t xml:space="preserve">on at least one EHR, </w:t>
      </w:r>
      <w:r w:rsidR="00761C3C">
        <w:rPr>
          <w:rFonts w:ascii="Times New Roman" w:eastAsia="Times New Roman" w:hAnsi="Times New Roman" w:cs="Times New Roman"/>
          <w:color w:val="000000"/>
          <w:sz w:val="24"/>
          <w:szCs w:val="24"/>
        </w:rPr>
        <w:t xml:space="preserve">and </w:t>
      </w:r>
      <w:proofErr w:type="spellStart"/>
      <w:r w:rsidR="00761C3C">
        <w:rPr>
          <w:rFonts w:ascii="Times New Roman" w:eastAsia="Times New Roman" w:hAnsi="Times New Roman" w:cs="Times New Roman"/>
          <w:color w:val="000000"/>
          <w:sz w:val="24"/>
          <w:szCs w:val="24"/>
        </w:rPr>
        <w:t>UpToDate</w:t>
      </w:r>
      <w:proofErr w:type="spellEnd"/>
      <w:r>
        <w:rPr>
          <w:rFonts w:ascii="Times New Roman" w:eastAsia="Times New Roman" w:hAnsi="Times New Roman" w:cs="Times New Roman"/>
          <w:color w:val="000000"/>
          <w:sz w:val="24"/>
          <w:szCs w:val="24"/>
        </w:rPr>
        <w:t xml:space="preserve"> provides</w:t>
      </w:r>
      <w:r w:rsidR="00761C3C">
        <w:rPr>
          <w:rFonts w:ascii="Times New Roman" w:eastAsia="Times New Roman" w:hAnsi="Times New Roman" w:cs="Times New Roman"/>
          <w:color w:val="000000"/>
          <w:sz w:val="24"/>
          <w:szCs w:val="24"/>
        </w:rPr>
        <w:t xml:space="preserve"> detailed information about their patient information </w:t>
      </w:r>
      <w:r>
        <w:rPr>
          <w:rFonts w:ascii="Times New Roman" w:eastAsia="Times New Roman" w:hAnsi="Times New Roman" w:cs="Times New Roman"/>
          <w:color w:val="000000"/>
          <w:sz w:val="24"/>
          <w:szCs w:val="24"/>
        </w:rPr>
        <w:t>resources</w:t>
      </w:r>
      <w:r w:rsidR="00761C3C">
        <w:rPr>
          <w:rFonts w:ascii="Times New Roman" w:eastAsia="Times New Roman" w:hAnsi="Times New Roman" w:cs="Times New Roman"/>
          <w:color w:val="000000"/>
          <w:sz w:val="24"/>
          <w:szCs w:val="24"/>
        </w:rPr>
        <w:t>.</w:t>
      </w:r>
      <w:bookmarkEnd w:id="30"/>
      <w:r w:rsidR="00761C3C">
        <w:rPr>
          <w:rFonts w:ascii="Times New Roman" w:eastAsia="Times New Roman" w:hAnsi="Times New Roman" w:cs="Times New Roman"/>
          <w:color w:val="000000"/>
          <w:sz w:val="24"/>
          <w:szCs w:val="24"/>
        </w:rPr>
        <w:t xml:space="preserve"> </w:t>
      </w:r>
    </w:p>
    <w:p w14:paraId="6F74325B" w14:textId="77777777" w:rsidR="00DA2437" w:rsidRDefault="00DA2437"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p>
    <w:p w14:paraId="6F74325C" w14:textId="77777777" w:rsidR="009C03A4" w:rsidRPr="009354A4" w:rsidRDefault="009C03A4"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sidRPr="009354A4">
        <w:rPr>
          <w:rFonts w:ascii="Times New Roman" w:eastAsia="Times New Roman" w:hAnsi="Times New Roman" w:cs="Times New Roman"/>
          <w:color w:val="000000"/>
          <w:sz w:val="24"/>
          <w:szCs w:val="24"/>
        </w:rPr>
        <w:t xml:space="preserve">Several resources that include a patient education component were not included within the final list of patient-specific education resources. After much debate, </w:t>
      </w:r>
      <w:proofErr w:type="spellStart"/>
      <w:r w:rsidR="008477FA" w:rsidRPr="009354A4">
        <w:rPr>
          <w:rFonts w:ascii="Times New Roman" w:eastAsia="Times New Roman" w:hAnsi="Times New Roman" w:cs="Times New Roman"/>
          <w:color w:val="000000"/>
          <w:sz w:val="24"/>
          <w:szCs w:val="24"/>
        </w:rPr>
        <w:t>FirstDataBank</w:t>
      </w:r>
      <w:proofErr w:type="spellEnd"/>
      <w:r w:rsidRPr="009354A4">
        <w:rPr>
          <w:rFonts w:ascii="Times New Roman" w:eastAsia="Times New Roman" w:hAnsi="Times New Roman" w:cs="Times New Roman"/>
          <w:color w:val="000000"/>
          <w:sz w:val="24"/>
          <w:szCs w:val="24"/>
        </w:rPr>
        <w:t xml:space="preserve"> was not included as a patient-specific education resource. </w:t>
      </w:r>
      <w:proofErr w:type="spellStart"/>
      <w:r w:rsidRPr="009354A4">
        <w:rPr>
          <w:rFonts w:ascii="Times New Roman" w:eastAsia="Times New Roman" w:hAnsi="Times New Roman" w:cs="Times New Roman"/>
          <w:color w:val="000000"/>
          <w:sz w:val="24"/>
          <w:szCs w:val="24"/>
        </w:rPr>
        <w:t>FirstDataBank’s</w:t>
      </w:r>
      <w:proofErr w:type="spellEnd"/>
      <w:r w:rsidRPr="009354A4">
        <w:rPr>
          <w:rFonts w:ascii="Times New Roman" w:eastAsia="Times New Roman" w:hAnsi="Times New Roman" w:cs="Times New Roman"/>
          <w:color w:val="000000"/>
          <w:sz w:val="24"/>
          <w:szCs w:val="24"/>
        </w:rPr>
        <w:t xml:space="preserve"> National Drug Data File (NDDF) </w:t>
      </w:r>
      <w:proofErr w:type="gramStart"/>
      <w:r w:rsidRPr="009354A4">
        <w:rPr>
          <w:rFonts w:ascii="Times New Roman" w:eastAsia="Times New Roman" w:hAnsi="Times New Roman" w:cs="Times New Roman"/>
          <w:color w:val="000000"/>
          <w:sz w:val="24"/>
          <w:szCs w:val="24"/>
        </w:rPr>
        <w:t>Plus</w:t>
      </w:r>
      <w:proofErr w:type="gramEnd"/>
      <w:r w:rsidRPr="009354A4">
        <w:rPr>
          <w:rFonts w:ascii="Times New Roman" w:eastAsia="Times New Roman" w:hAnsi="Times New Roman" w:cs="Times New Roman"/>
          <w:color w:val="000000"/>
          <w:sz w:val="24"/>
          <w:szCs w:val="24"/>
        </w:rPr>
        <w:t xml:space="preserve"> includes a Patient Education Module of drug monographs for use by pharmacists and point-of-care medical professionals with consumer education materials. While many vendors use </w:t>
      </w:r>
      <w:proofErr w:type="spellStart"/>
      <w:r w:rsidRPr="009354A4">
        <w:rPr>
          <w:rFonts w:ascii="Times New Roman" w:eastAsia="Times New Roman" w:hAnsi="Times New Roman" w:cs="Times New Roman"/>
          <w:color w:val="000000"/>
          <w:sz w:val="24"/>
          <w:szCs w:val="24"/>
        </w:rPr>
        <w:t>FirstDataBank</w:t>
      </w:r>
      <w:proofErr w:type="spellEnd"/>
      <w:r w:rsidRPr="009354A4">
        <w:rPr>
          <w:rFonts w:ascii="Times New Roman" w:eastAsia="Times New Roman" w:hAnsi="Times New Roman" w:cs="Times New Roman"/>
          <w:color w:val="000000"/>
          <w:sz w:val="24"/>
          <w:szCs w:val="24"/>
        </w:rPr>
        <w:t xml:space="preserve"> within their EHR</w:t>
      </w:r>
      <w:r w:rsidR="004D2F01">
        <w:rPr>
          <w:rFonts w:ascii="Times New Roman" w:eastAsia="Times New Roman" w:hAnsi="Times New Roman" w:cs="Times New Roman"/>
          <w:color w:val="000000"/>
          <w:sz w:val="24"/>
          <w:szCs w:val="24"/>
        </w:rPr>
        <w:t xml:space="preserve"> and note it as a partner</w:t>
      </w:r>
      <w:r w:rsidRPr="009354A4">
        <w:rPr>
          <w:rFonts w:ascii="Times New Roman" w:eastAsia="Times New Roman" w:hAnsi="Times New Roman" w:cs="Times New Roman"/>
          <w:color w:val="000000"/>
          <w:sz w:val="24"/>
          <w:szCs w:val="24"/>
        </w:rPr>
        <w:t xml:space="preserve">, </w:t>
      </w:r>
      <w:r w:rsidR="00D115AC">
        <w:rPr>
          <w:rFonts w:ascii="Times New Roman" w:eastAsia="Times New Roman" w:hAnsi="Times New Roman" w:cs="Times New Roman"/>
          <w:color w:val="000000"/>
          <w:sz w:val="24"/>
          <w:szCs w:val="24"/>
        </w:rPr>
        <w:t xml:space="preserve">it was not </w:t>
      </w:r>
      <w:r w:rsidRPr="009354A4">
        <w:rPr>
          <w:rFonts w:ascii="Times New Roman" w:eastAsia="Times New Roman" w:hAnsi="Times New Roman" w:cs="Times New Roman"/>
          <w:color w:val="000000"/>
          <w:sz w:val="24"/>
          <w:szCs w:val="24"/>
        </w:rPr>
        <w:t xml:space="preserve">specifically </w:t>
      </w:r>
      <w:r w:rsidR="00F2426C">
        <w:rPr>
          <w:rFonts w:ascii="Times New Roman" w:eastAsia="Times New Roman" w:hAnsi="Times New Roman" w:cs="Times New Roman"/>
          <w:color w:val="000000"/>
          <w:sz w:val="24"/>
          <w:szCs w:val="24"/>
        </w:rPr>
        <w:t xml:space="preserve">listed </w:t>
      </w:r>
      <w:r w:rsidR="00D115AC">
        <w:rPr>
          <w:rFonts w:ascii="Times New Roman" w:eastAsia="Times New Roman" w:hAnsi="Times New Roman" w:cs="Times New Roman"/>
          <w:color w:val="000000"/>
          <w:sz w:val="24"/>
          <w:szCs w:val="24"/>
        </w:rPr>
        <w:t>as a provider of</w:t>
      </w:r>
      <w:r w:rsidRPr="009354A4">
        <w:rPr>
          <w:rFonts w:ascii="Times New Roman" w:eastAsia="Times New Roman" w:hAnsi="Times New Roman" w:cs="Times New Roman"/>
          <w:color w:val="000000"/>
          <w:sz w:val="24"/>
          <w:szCs w:val="24"/>
        </w:rPr>
        <w:t xml:space="preserve"> patient</w:t>
      </w:r>
      <w:r w:rsidR="00AB20AA">
        <w:rPr>
          <w:rFonts w:ascii="Times New Roman" w:eastAsia="Times New Roman" w:hAnsi="Times New Roman" w:cs="Times New Roman"/>
          <w:color w:val="000000"/>
          <w:sz w:val="24"/>
          <w:szCs w:val="24"/>
        </w:rPr>
        <w:t>-specific</w:t>
      </w:r>
      <w:r w:rsidRPr="009354A4">
        <w:rPr>
          <w:rFonts w:ascii="Times New Roman" w:eastAsia="Times New Roman" w:hAnsi="Times New Roman" w:cs="Times New Roman"/>
          <w:color w:val="000000"/>
          <w:sz w:val="24"/>
          <w:szCs w:val="24"/>
        </w:rPr>
        <w:t xml:space="preserve"> education materials</w:t>
      </w:r>
      <w:r w:rsidR="00AB20AA">
        <w:rPr>
          <w:rFonts w:ascii="Times New Roman" w:eastAsia="Times New Roman" w:hAnsi="Times New Roman" w:cs="Times New Roman"/>
          <w:color w:val="000000"/>
          <w:sz w:val="24"/>
          <w:szCs w:val="24"/>
        </w:rPr>
        <w:t xml:space="preserve"> by any vendor</w:t>
      </w:r>
      <w:r w:rsidRPr="009354A4">
        <w:rPr>
          <w:rFonts w:ascii="Times New Roman" w:eastAsia="Times New Roman" w:hAnsi="Times New Roman" w:cs="Times New Roman"/>
          <w:color w:val="000000"/>
          <w:sz w:val="24"/>
          <w:szCs w:val="24"/>
        </w:rPr>
        <w:t xml:space="preserve">. </w:t>
      </w:r>
      <w:proofErr w:type="spellStart"/>
      <w:r w:rsidRPr="009354A4">
        <w:rPr>
          <w:rFonts w:ascii="Times New Roman" w:eastAsia="Times New Roman" w:hAnsi="Times New Roman" w:cs="Times New Roman"/>
          <w:color w:val="000000"/>
          <w:sz w:val="24"/>
          <w:szCs w:val="24"/>
        </w:rPr>
        <w:t>LDMGroup’s</w:t>
      </w:r>
      <w:proofErr w:type="spellEnd"/>
      <w:r w:rsidRPr="009354A4">
        <w:rPr>
          <w:rFonts w:ascii="Times New Roman" w:eastAsia="Times New Roman" w:hAnsi="Times New Roman" w:cs="Times New Roman"/>
          <w:color w:val="000000"/>
          <w:sz w:val="24"/>
          <w:szCs w:val="24"/>
        </w:rPr>
        <w:t xml:space="preserve"> </w:t>
      </w:r>
      <w:proofErr w:type="spellStart"/>
      <w:r w:rsidRPr="009354A4">
        <w:rPr>
          <w:rFonts w:ascii="Times New Roman" w:eastAsia="Times New Roman" w:hAnsi="Times New Roman" w:cs="Times New Roman"/>
          <w:i/>
          <w:color w:val="000000"/>
          <w:sz w:val="24"/>
          <w:szCs w:val="24"/>
        </w:rPr>
        <w:t>CarePoints</w:t>
      </w:r>
      <w:proofErr w:type="spellEnd"/>
      <w:r w:rsidRPr="009354A4">
        <w:rPr>
          <w:rFonts w:ascii="Times New Roman" w:eastAsia="Times New Roman" w:hAnsi="Times New Roman" w:cs="Times New Roman"/>
          <w:color w:val="000000"/>
          <w:sz w:val="24"/>
          <w:szCs w:val="24"/>
        </w:rPr>
        <w:t xml:space="preserve"> resource was also not included since the patient education message appears to apply to a prescription at the point of pharmacy pick-up</w:t>
      </w:r>
      <w:r w:rsidR="00F2426C">
        <w:rPr>
          <w:rFonts w:ascii="Times New Roman" w:eastAsia="Times New Roman" w:hAnsi="Times New Roman" w:cs="Times New Roman"/>
          <w:color w:val="000000"/>
          <w:sz w:val="24"/>
          <w:szCs w:val="24"/>
        </w:rPr>
        <w:t xml:space="preserve"> and it was never listed as a patient-education vendor</w:t>
      </w:r>
      <w:r w:rsidRPr="009354A4">
        <w:rPr>
          <w:rFonts w:ascii="Times New Roman" w:eastAsia="Times New Roman" w:hAnsi="Times New Roman" w:cs="Times New Roman"/>
          <w:color w:val="000000"/>
          <w:sz w:val="24"/>
          <w:szCs w:val="24"/>
        </w:rPr>
        <w:t xml:space="preserve">. </w:t>
      </w:r>
      <w:proofErr w:type="spellStart"/>
      <w:r w:rsidRPr="009354A4">
        <w:rPr>
          <w:rFonts w:ascii="Times New Roman" w:eastAsia="Times New Roman" w:hAnsi="Times New Roman" w:cs="Times New Roman"/>
          <w:color w:val="000000"/>
          <w:sz w:val="24"/>
          <w:szCs w:val="24"/>
        </w:rPr>
        <w:t>ZynxHealth</w:t>
      </w:r>
      <w:proofErr w:type="spellEnd"/>
      <w:r w:rsidRPr="009354A4">
        <w:rPr>
          <w:rFonts w:ascii="Times New Roman" w:eastAsia="Times New Roman" w:hAnsi="Times New Roman" w:cs="Times New Roman"/>
          <w:color w:val="000000"/>
          <w:sz w:val="24"/>
          <w:szCs w:val="24"/>
        </w:rPr>
        <w:t xml:space="preserve">, a company that </w:t>
      </w:r>
      <w:r w:rsidR="004D2F01">
        <w:rPr>
          <w:rFonts w:ascii="Times New Roman" w:eastAsia="Times New Roman" w:hAnsi="Times New Roman" w:cs="Times New Roman"/>
          <w:color w:val="000000"/>
          <w:sz w:val="24"/>
          <w:szCs w:val="24"/>
        </w:rPr>
        <w:t xml:space="preserve">was also frequently listed as a partner and that </w:t>
      </w:r>
      <w:r w:rsidRPr="009354A4">
        <w:rPr>
          <w:rFonts w:ascii="Times New Roman" w:eastAsia="Times New Roman" w:hAnsi="Times New Roman" w:cs="Times New Roman"/>
          <w:color w:val="000000"/>
          <w:sz w:val="24"/>
          <w:szCs w:val="24"/>
        </w:rPr>
        <w:t xml:space="preserve">provides evidence-based clinical decision support, was another company removed from the list of patient-specific education resources because of a lack of evidence </w:t>
      </w:r>
      <w:r w:rsidR="000919DB" w:rsidRPr="009354A4">
        <w:rPr>
          <w:rFonts w:ascii="Times New Roman" w:eastAsia="Times New Roman" w:hAnsi="Times New Roman" w:cs="Times New Roman"/>
          <w:color w:val="000000"/>
          <w:sz w:val="24"/>
          <w:szCs w:val="24"/>
        </w:rPr>
        <w:t xml:space="preserve">that they can or do provide patient-specific education resources. </w:t>
      </w:r>
      <w:r w:rsidRPr="009354A4">
        <w:rPr>
          <w:rFonts w:ascii="Times New Roman" w:eastAsia="Times New Roman" w:hAnsi="Times New Roman" w:cs="Times New Roman"/>
          <w:color w:val="000000"/>
          <w:sz w:val="24"/>
          <w:szCs w:val="24"/>
        </w:rPr>
        <w:t xml:space="preserve">Lastly, Wiley was frequently listed as a partner but no evidence of patient-specific education materials was found on the Wiley website and no vendor specifically listed it as a patient-specific education resource. </w:t>
      </w:r>
      <w:r w:rsidR="00DB1253" w:rsidRPr="009354A4">
        <w:rPr>
          <w:rFonts w:ascii="Times New Roman" w:eastAsia="Times New Roman" w:hAnsi="Times New Roman" w:cs="Times New Roman"/>
          <w:color w:val="000000"/>
          <w:sz w:val="24"/>
          <w:szCs w:val="24"/>
        </w:rPr>
        <w:t xml:space="preserve">Additionally, a number of professional associations were listed as partners on vendor and product websites (e.g., </w:t>
      </w:r>
      <w:proofErr w:type="spellStart"/>
      <w:r w:rsidR="00DB1253" w:rsidRPr="009354A4">
        <w:rPr>
          <w:rFonts w:ascii="Times New Roman" w:eastAsia="Times New Roman" w:hAnsi="Times New Roman" w:cs="Times New Roman"/>
          <w:color w:val="000000"/>
          <w:sz w:val="24"/>
          <w:szCs w:val="24"/>
        </w:rPr>
        <w:t>BioMedix</w:t>
      </w:r>
      <w:proofErr w:type="spellEnd"/>
      <w:r w:rsidR="00DB1253" w:rsidRPr="009354A4">
        <w:rPr>
          <w:rFonts w:ascii="Times New Roman" w:eastAsia="Times New Roman" w:hAnsi="Times New Roman" w:cs="Times New Roman"/>
          <w:color w:val="000000"/>
          <w:sz w:val="24"/>
          <w:szCs w:val="24"/>
        </w:rPr>
        <w:t xml:space="preserve"> Vascular Solutions/</w:t>
      </w:r>
      <w:proofErr w:type="spellStart"/>
      <w:r w:rsidR="00DB1253" w:rsidRPr="009354A4">
        <w:rPr>
          <w:rFonts w:ascii="Times New Roman" w:eastAsia="Times New Roman" w:hAnsi="Times New Roman" w:cs="Times New Roman"/>
          <w:color w:val="000000"/>
          <w:sz w:val="24"/>
          <w:szCs w:val="24"/>
        </w:rPr>
        <w:t>Traknet</w:t>
      </w:r>
      <w:proofErr w:type="spellEnd"/>
      <w:r w:rsidR="00DB1253" w:rsidRPr="009354A4">
        <w:rPr>
          <w:rFonts w:ascii="Times New Roman" w:eastAsia="Times New Roman" w:hAnsi="Times New Roman" w:cs="Times New Roman"/>
          <w:color w:val="000000"/>
          <w:sz w:val="24"/>
          <w:szCs w:val="24"/>
        </w:rPr>
        <w:t xml:space="preserve"> Practice Management Software) but specific information about whether or not they provide patient-specific education resources</w:t>
      </w:r>
      <w:r w:rsidR="004D2F01">
        <w:rPr>
          <w:rFonts w:ascii="Times New Roman" w:eastAsia="Times New Roman" w:hAnsi="Times New Roman" w:cs="Times New Roman"/>
          <w:color w:val="000000"/>
          <w:sz w:val="24"/>
          <w:szCs w:val="24"/>
        </w:rPr>
        <w:t xml:space="preserve"> within the EHR</w:t>
      </w:r>
      <w:r w:rsidR="00DB1253" w:rsidRPr="009354A4">
        <w:rPr>
          <w:rFonts w:ascii="Times New Roman" w:eastAsia="Times New Roman" w:hAnsi="Times New Roman" w:cs="Times New Roman"/>
          <w:color w:val="000000"/>
          <w:sz w:val="24"/>
          <w:szCs w:val="24"/>
        </w:rPr>
        <w:t xml:space="preserve">, even though they are created by many of these professional associates, was </w:t>
      </w:r>
      <w:r w:rsidR="00D369E0">
        <w:rPr>
          <w:rFonts w:ascii="Times New Roman" w:eastAsia="Times New Roman" w:hAnsi="Times New Roman" w:cs="Times New Roman"/>
          <w:color w:val="000000"/>
          <w:sz w:val="24"/>
          <w:szCs w:val="24"/>
        </w:rPr>
        <w:t>unavailable</w:t>
      </w:r>
      <w:r w:rsidR="00DB1253" w:rsidRPr="009354A4">
        <w:rPr>
          <w:rFonts w:ascii="Times New Roman" w:eastAsia="Times New Roman" w:hAnsi="Times New Roman" w:cs="Times New Roman"/>
          <w:color w:val="000000"/>
          <w:sz w:val="24"/>
          <w:szCs w:val="24"/>
        </w:rPr>
        <w:t xml:space="preserve">. Therefore, they are not listed in the final listing of patient-specific education resources. </w:t>
      </w:r>
      <w:r w:rsidR="00D115AC">
        <w:rPr>
          <w:rFonts w:ascii="Times New Roman" w:eastAsia="Times New Roman" w:hAnsi="Times New Roman" w:cs="Times New Roman"/>
          <w:color w:val="000000"/>
          <w:sz w:val="24"/>
          <w:szCs w:val="24"/>
        </w:rPr>
        <w:t xml:space="preserve">Such resources should be noted and tracked for future research. </w:t>
      </w:r>
    </w:p>
    <w:p w14:paraId="6F74325D" w14:textId="77777777" w:rsidR="001D4E0C" w:rsidRPr="002B7283" w:rsidRDefault="001D4E0C" w:rsidP="002B7283">
      <w:pPr>
        <w:pStyle w:val="Heading1"/>
        <w:rPr>
          <w:color w:val="auto"/>
        </w:rPr>
      </w:pPr>
      <w:bookmarkStart w:id="31" w:name="_Toc284948719"/>
      <w:r w:rsidRPr="002B7283">
        <w:rPr>
          <w:color w:val="auto"/>
        </w:rPr>
        <w:t>Recommendations</w:t>
      </w:r>
      <w:bookmarkEnd w:id="31"/>
    </w:p>
    <w:p w14:paraId="6F74325E" w14:textId="77777777" w:rsidR="001D7452" w:rsidRPr="00D369E0" w:rsidRDefault="00587640"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section outlines suggestions for further research and </w:t>
      </w:r>
      <w:r w:rsidRPr="00D369E0">
        <w:rPr>
          <w:rFonts w:ascii="Times New Roman" w:eastAsia="Times New Roman" w:hAnsi="Times New Roman" w:cs="Times New Roman"/>
          <w:color w:val="000000"/>
          <w:sz w:val="24"/>
          <w:szCs w:val="24"/>
        </w:rPr>
        <w:t>analysis</w:t>
      </w:r>
      <w:r w:rsidR="00D369E0">
        <w:rPr>
          <w:rFonts w:ascii="Times New Roman" w:eastAsia="Times New Roman" w:hAnsi="Times New Roman" w:cs="Times New Roman"/>
          <w:color w:val="000000"/>
          <w:sz w:val="24"/>
          <w:szCs w:val="24"/>
        </w:rPr>
        <w:t>,</w:t>
      </w:r>
      <w:r w:rsidRPr="00D369E0">
        <w:rPr>
          <w:rFonts w:ascii="Times New Roman" w:eastAsia="Times New Roman" w:hAnsi="Times New Roman" w:cs="Times New Roman"/>
          <w:color w:val="000000"/>
          <w:sz w:val="24"/>
          <w:szCs w:val="24"/>
        </w:rPr>
        <w:t xml:space="preserve"> with the understanding that the MedlinePlus Connect project </w:t>
      </w:r>
      <w:r w:rsidR="001D7452" w:rsidRPr="00D369E0">
        <w:rPr>
          <w:rFonts w:ascii="Times New Roman" w:eastAsia="Times New Roman" w:hAnsi="Times New Roman" w:cs="Times New Roman"/>
          <w:color w:val="000000"/>
          <w:sz w:val="24"/>
          <w:szCs w:val="24"/>
        </w:rPr>
        <w:t xml:space="preserve">is </w:t>
      </w:r>
      <w:r w:rsidR="00017DC4" w:rsidRPr="00D369E0">
        <w:rPr>
          <w:rFonts w:ascii="Times New Roman" w:eastAsia="Times New Roman" w:hAnsi="Times New Roman" w:cs="Times New Roman"/>
          <w:color w:val="000000"/>
          <w:sz w:val="24"/>
          <w:szCs w:val="24"/>
        </w:rPr>
        <w:t xml:space="preserve">entering a dynamic health IT field. </w:t>
      </w:r>
    </w:p>
    <w:p w14:paraId="6F74325F" w14:textId="77777777" w:rsidR="00DA2437" w:rsidRPr="00D369E0" w:rsidRDefault="00DA2437"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p>
    <w:p w14:paraId="6F743260" w14:textId="77777777" w:rsidR="0071459F" w:rsidRDefault="00017DC4"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of time limitations, this study was limited to patient</w:t>
      </w:r>
      <w:r w:rsidR="00AB20AA">
        <w:rPr>
          <w:rFonts w:ascii="Times New Roman" w:eastAsia="Times New Roman" w:hAnsi="Times New Roman" w:cs="Times New Roman"/>
          <w:color w:val="000000"/>
          <w:sz w:val="24"/>
          <w:szCs w:val="24"/>
        </w:rPr>
        <w:t>-specific</w:t>
      </w:r>
      <w:r>
        <w:rPr>
          <w:rFonts w:ascii="Times New Roman" w:eastAsia="Times New Roman" w:hAnsi="Times New Roman" w:cs="Times New Roman"/>
          <w:color w:val="000000"/>
          <w:sz w:val="24"/>
          <w:szCs w:val="24"/>
        </w:rPr>
        <w:t xml:space="preserve"> education information sources but a scan of other EHR aspects that relate to MedlinePlus Connect and other NLM research projects could be beneficial. For example, this scan attempted to note if education information was available thro</w:t>
      </w:r>
      <w:r w:rsidR="00F2426C">
        <w:rPr>
          <w:rFonts w:ascii="Times New Roman" w:eastAsia="Times New Roman" w:hAnsi="Times New Roman" w:cs="Times New Roman"/>
          <w:color w:val="000000"/>
          <w:sz w:val="24"/>
          <w:szCs w:val="24"/>
        </w:rPr>
        <w:t xml:space="preserve">ugh </w:t>
      </w:r>
      <w:r>
        <w:rPr>
          <w:rFonts w:ascii="Times New Roman" w:eastAsia="Times New Roman" w:hAnsi="Times New Roman" w:cs="Times New Roman"/>
          <w:color w:val="000000"/>
          <w:sz w:val="24"/>
          <w:szCs w:val="24"/>
        </w:rPr>
        <w:t>patient po</w:t>
      </w:r>
      <w:r w:rsidR="006E1961">
        <w:rPr>
          <w:rFonts w:ascii="Times New Roman" w:eastAsia="Times New Roman" w:hAnsi="Times New Roman" w:cs="Times New Roman"/>
          <w:color w:val="000000"/>
          <w:sz w:val="24"/>
          <w:szCs w:val="24"/>
        </w:rPr>
        <w:t>rtals. Yet, many patient portal websites</w:t>
      </w:r>
      <w:r>
        <w:rPr>
          <w:rFonts w:ascii="Times New Roman" w:eastAsia="Times New Roman" w:hAnsi="Times New Roman" w:cs="Times New Roman"/>
          <w:color w:val="000000"/>
          <w:sz w:val="24"/>
          <w:szCs w:val="24"/>
        </w:rPr>
        <w:t xml:space="preserve"> provided no </w:t>
      </w:r>
      <w:r>
        <w:rPr>
          <w:rFonts w:ascii="Times New Roman" w:eastAsia="Times New Roman" w:hAnsi="Times New Roman" w:cs="Times New Roman"/>
          <w:color w:val="000000"/>
          <w:sz w:val="24"/>
          <w:szCs w:val="24"/>
        </w:rPr>
        <w:lastRenderedPageBreak/>
        <w:t xml:space="preserve">information about education resources and primarily focused on their ability to simplify office billing and scheduling. </w:t>
      </w:r>
      <w:r w:rsidR="006E1961">
        <w:rPr>
          <w:rFonts w:ascii="Times New Roman" w:eastAsia="Times New Roman" w:hAnsi="Times New Roman" w:cs="Times New Roman"/>
          <w:color w:val="000000"/>
          <w:sz w:val="24"/>
          <w:szCs w:val="24"/>
        </w:rPr>
        <w:t xml:space="preserve">Future research could also focus on ambulatory or inpatient EHRs, especially since the ONC </w:t>
      </w:r>
      <w:r w:rsidR="00F2426C">
        <w:rPr>
          <w:rFonts w:ascii="Times New Roman" w:eastAsia="Times New Roman" w:hAnsi="Times New Roman" w:cs="Times New Roman"/>
          <w:color w:val="000000"/>
          <w:sz w:val="24"/>
          <w:szCs w:val="24"/>
        </w:rPr>
        <w:t>has recently created slightly different certification criteria for each</w:t>
      </w:r>
      <w:r w:rsidR="006E1961">
        <w:rPr>
          <w:rFonts w:ascii="Times New Roman" w:eastAsia="Times New Roman" w:hAnsi="Times New Roman" w:cs="Times New Roman"/>
          <w:color w:val="000000"/>
          <w:sz w:val="24"/>
          <w:szCs w:val="24"/>
        </w:rPr>
        <w:t xml:space="preserve">. </w:t>
      </w:r>
    </w:p>
    <w:p w14:paraId="6F743261" w14:textId="77777777" w:rsidR="00DA2437" w:rsidRDefault="00DA2437"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p>
    <w:p w14:paraId="6F743262" w14:textId="77777777" w:rsidR="000978FA" w:rsidRDefault="006E1961"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MedlinePlus Connect </w:t>
      </w:r>
      <w:r w:rsidR="00F2426C">
        <w:rPr>
          <w:rFonts w:ascii="Times New Roman" w:eastAsia="Times New Roman" w:hAnsi="Times New Roman" w:cs="Times New Roman"/>
          <w:color w:val="000000"/>
          <w:sz w:val="24"/>
          <w:szCs w:val="24"/>
        </w:rPr>
        <w:t xml:space="preserve">team </w:t>
      </w:r>
      <w:r>
        <w:rPr>
          <w:rFonts w:ascii="Times New Roman" w:eastAsia="Times New Roman" w:hAnsi="Times New Roman" w:cs="Times New Roman"/>
          <w:color w:val="000000"/>
          <w:sz w:val="24"/>
          <w:szCs w:val="24"/>
        </w:rPr>
        <w:t xml:space="preserve">decides to </w:t>
      </w:r>
      <w:r w:rsidR="006C052A">
        <w:rPr>
          <w:rFonts w:ascii="Times New Roman" w:eastAsia="Times New Roman" w:hAnsi="Times New Roman" w:cs="Times New Roman"/>
          <w:color w:val="000000"/>
          <w:sz w:val="24"/>
          <w:szCs w:val="24"/>
        </w:rPr>
        <w:t xml:space="preserve">conduct </w:t>
      </w:r>
      <w:r>
        <w:rPr>
          <w:rFonts w:ascii="Times New Roman" w:eastAsia="Times New Roman" w:hAnsi="Times New Roman" w:cs="Times New Roman"/>
          <w:color w:val="000000"/>
          <w:sz w:val="24"/>
          <w:szCs w:val="24"/>
        </w:rPr>
        <w:t xml:space="preserve">further research </w:t>
      </w:r>
      <w:r w:rsidR="006C052A">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EHRs and their providers of patient-specific education material, waiting until the ONC CHPL list is finalized </w:t>
      </w:r>
      <w:r w:rsidR="00D369E0">
        <w:rPr>
          <w:rFonts w:ascii="Times New Roman" w:eastAsia="Times New Roman" w:hAnsi="Times New Roman" w:cs="Times New Roman"/>
          <w:color w:val="000000"/>
          <w:sz w:val="24"/>
          <w:szCs w:val="24"/>
        </w:rPr>
        <w:t xml:space="preserve">would </w:t>
      </w:r>
      <w:r>
        <w:rPr>
          <w:rFonts w:ascii="Times New Roman" w:eastAsia="Times New Roman" w:hAnsi="Times New Roman" w:cs="Times New Roman"/>
          <w:color w:val="000000"/>
          <w:sz w:val="24"/>
          <w:szCs w:val="24"/>
        </w:rPr>
        <w:t xml:space="preserve">be beneficial. The list changed at least three times during the duration of this brief project in both content and structure. </w:t>
      </w:r>
      <w:r w:rsidR="001D7452">
        <w:rPr>
          <w:rFonts w:ascii="Times New Roman" w:eastAsia="Times New Roman" w:hAnsi="Times New Roman" w:cs="Times New Roman"/>
          <w:color w:val="000000"/>
          <w:sz w:val="24"/>
          <w:szCs w:val="24"/>
        </w:rPr>
        <w:t xml:space="preserve">While this initial scan provides information on the patient-specific education resource field, </w:t>
      </w:r>
      <w:r w:rsidR="000978FA">
        <w:rPr>
          <w:rFonts w:ascii="Times New Roman" w:eastAsia="Times New Roman" w:hAnsi="Times New Roman" w:cs="Times New Roman"/>
          <w:color w:val="000000"/>
          <w:sz w:val="24"/>
          <w:szCs w:val="24"/>
        </w:rPr>
        <w:t>other</w:t>
      </w:r>
      <w:r w:rsidR="00D369E0">
        <w:rPr>
          <w:rFonts w:ascii="Times New Roman" w:eastAsia="Times New Roman" w:hAnsi="Times New Roman" w:cs="Times New Roman"/>
          <w:color w:val="000000"/>
          <w:sz w:val="24"/>
          <w:szCs w:val="24"/>
        </w:rPr>
        <w:t xml:space="preserve"> </w:t>
      </w:r>
      <w:r w:rsidR="00B1054A">
        <w:rPr>
          <w:rFonts w:ascii="Times New Roman" w:eastAsia="Times New Roman" w:hAnsi="Times New Roman" w:cs="Times New Roman"/>
          <w:color w:val="000000"/>
          <w:sz w:val="24"/>
          <w:szCs w:val="24"/>
        </w:rPr>
        <w:t>resources</w:t>
      </w:r>
      <w:r w:rsidR="000978FA">
        <w:rPr>
          <w:rFonts w:ascii="Times New Roman" w:eastAsia="Times New Roman" w:hAnsi="Times New Roman" w:cs="Times New Roman"/>
          <w:color w:val="000000"/>
          <w:sz w:val="24"/>
          <w:szCs w:val="24"/>
        </w:rPr>
        <w:t xml:space="preserve"> could </w:t>
      </w:r>
      <w:r w:rsidR="00D369E0">
        <w:rPr>
          <w:rFonts w:ascii="Times New Roman" w:eastAsia="Times New Roman" w:hAnsi="Times New Roman" w:cs="Times New Roman"/>
          <w:color w:val="000000"/>
          <w:sz w:val="24"/>
          <w:szCs w:val="24"/>
        </w:rPr>
        <w:t>exist</w:t>
      </w:r>
      <w:r w:rsidR="000978FA">
        <w:rPr>
          <w:rFonts w:ascii="Times New Roman" w:eastAsia="Times New Roman" w:hAnsi="Times New Roman" w:cs="Times New Roman"/>
          <w:color w:val="000000"/>
          <w:sz w:val="24"/>
          <w:szCs w:val="24"/>
        </w:rPr>
        <w:t xml:space="preserve"> </w:t>
      </w:r>
      <w:r w:rsidR="0040490C">
        <w:rPr>
          <w:rFonts w:ascii="Times New Roman" w:eastAsia="Times New Roman" w:hAnsi="Times New Roman" w:cs="Times New Roman"/>
          <w:color w:val="000000"/>
          <w:sz w:val="24"/>
          <w:szCs w:val="24"/>
        </w:rPr>
        <w:t xml:space="preserve">even if they were not currently listed on EHR websites. </w:t>
      </w:r>
      <w:r w:rsidR="000978FA">
        <w:rPr>
          <w:rFonts w:ascii="Times New Roman" w:eastAsia="Times New Roman" w:hAnsi="Times New Roman" w:cs="Times New Roman"/>
          <w:color w:val="000000"/>
          <w:sz w:val="24"/>
          <w:szCs w:val="24"/>
        </w:rPr>
        <w:t xml:space="preserve">As the ONC website evolves and includes more information </w:t>
      </w:r>
      <w:r w:rsidR="0040490C">
        <w:rPr>
          <w:rFonts w:ascii="Times New Roman" w:eastAsia="Times New Roman" w:hAnsi="Times New Roman" w:cs="Times New Roman"/>
          <w:color w:val="000000"/>
          <w:sz w:val="24"/>
          <w:szCs w:val="24"/>
        </w:rPr>
        <w:t xml:space="preserve">about </w:t>
      </w:r>
      <w:r w:rsidR="000978FA">
        <w:rPr>
          <w:rFonts w:ascii="Times New Roman" w:eastAsia="Times New Roman" w:hAnsi="Times New Roman" w:cs="Times New Roman"/>
          <w:color w:val="000000"/>
          <w:sz w:val="24"/>
          <w:szCs w:val="24"/>
        </w:rPr>
        <w:t>certification</w:t>
      </w:r>
      <w:r w:rsidR="0040490C">
        <w:rPr>
          <w:rFonts w:ascii="Times New Roman" w:eastAsia="Times New Roman" w:hAnsi="Times New Roman" w:cs="Times New Roman"/>
          <w:color w:val="000000"/>
          <w:sz w:val="24"/>
          <w:szCs w:val="24"/>
        </w:rPr>
        <w:t xml:space="preserve"> criteria</w:t>
      </w:r>
      <w:r w:rsidR="000978FA">
        <w:rPr>
          <w:rFonts w:ascii="Times New Roman" w:eastAsia="Times New Roman" w:hAnsi="Times New Roman" w:cs="Times New Roman"/>
          <w:color w:val="000000"/>
          <w:sz w:val="24"/>
          <w:szCs w:val="24"/>
        </w:rPr>
        <w:t xml:space="preserve">, it is recommended to check for </w:t>
      </w:r>
      <w:r w:rsidR="00F2426C">
        <w:rPr>
          <w:rFonts w:ascii="Times New Roman" w:eastAsia="Times New Roman" w:hAnsi="Times New Roman" w:cs="Times New Roman"/>
          <w:color w:val="000000"/>
          <w:sz w:val="24"/>
          <w:szCs w:val="24"/>
        </w:rPr>
        <w:t>additional</w:t>
      </w:r>
      <w:r w:rsidR="000978FA">
        <w:rPr>
          <w:rFonts w:ascii="Times New Roman" w:eastAsia="Times New Roman" w:hAnsi="Times New Roman" w:cs="Times New Roman"/>
          <w:color w:val="000000"/>
          <w:sz w:val="24"/>
          <w:szCs w:val="24"/>
        </w:rPr>
        <w:t xml:space="preserve"> 170.302(m) vendors. </w:t>
      </w:r>
      <w:r w:rsidR="00F2426C">
        <w:rPr>
          <w:rFonts w:ascii="Times New Roman" w:eastAsia="Times New Roman" w:hAnsi="Times New Roman" w:cs="Times New Roman"/>
          <w:color w:val="000000"/>
          <w:sz w:val="24"/>
          <w:szCs w:val="24"/>
        </w:rPr>
        <w:t>Reviewing the list of vendors who were ultimately not included in the</w:t>
      </w:r>
      <w:r w:rsidR="0040490C">
        <w:rPr>
          <w:rFonts w:ascii="Times New Roman" w:eastAsia="Times New Roman" w:hAnsi="Times New Roman" w:cs="Times New Roman"/>
          <w:color w:val="000000"/>
          <w:sz w:val="24"/>
          <w:szCs w:val="24"/>
        </w:rPr>
        <w:t xml:space="preserve"> final</w:t>
      </w:r>
      <w:r w:rsidR="00F2426C">
        <w:rPr>
          <w:rFonts w:ascii="Times New Roman" w:eastAsia="Times New Roman" w:hAnsi="Times New Roman" w:cs="Times New Roman"/>
          <w:color w:val="000000"/>
          <w:sz w:val="24"/>
          <w:szCs w:val="24"/>
        </w:rPr>
        <w:t xml:space="preserve"> patient-specific education resource list, as note</w:t>
      </w:r>
      <w:r w:rsidR="00992691">
        <w:rPr>
          <w:rFonts w:ascii="Times New Roman" w:eastAsia="Times New Roman" w:hAnsi="Times New Roman" w:cs="Times New Roman"/>
          <w:color w:val="000000"/>
          <w:sz w:val="24"/>
          <w:szCs w:val="24"/>
        </w:rPr>
        <w:t>d</w:t>
      </w:r>
      <w:r w:rsidR="00F2426C">
        <w:rPr>
          <w:rFonts w:ascii="Times New Roman" w:eastAsia="Times New Roman" w:hAnsi="Times New Roman" w:cs="Times New Roman"/>
          <w:color w:val="000000"/>
          <w:sz w:val="24"/>
          <w:szCs w:val="24"/>
        </w:rPr>
        <w:t xml:space="preserve"> in the Discussion section, is also recommended.</w:t>
      </w:r>
      <w:r w:rsidR="0040490C">
        <w:rPr>
          <w:rFonts w:ascii="Times New Roman" w:eastAsia="Times New Roman" w:hAnsi="Times New Roman" w:cs="Times New Roman"/>
          <w:color w:val="000000"/>
          <w:sz w:val="24"/>
          <w:szCs w:val="24"/>
        </w:rPr>
        <w:t xml:space="preserve"> A</w:t>
      </w:r>
      <w:r w:rsidR="000978FA">
        <w:rPr>
          <w:rFonts w:ascii="Times New Roman" w:eastAsia="Times New Roman" w:hAnsi="Times New Roman" w:cs="Times New Roman"/>
          <w:color w:val="000000"/>
          <w:sz w:val="24"/>
          <w:szCs w:val="24"/>
        </w:rPr>
        <w:t xml:space="preserve">n update to the list is recommended since many of the vendors or products that did not previously meet the 170.302(m) certification criteria could now be certified. The process appears to be constantly </w:t>
      </w:r>
      <w:r w:rsidR="00B1054A">
        <w:rPr>
          <w:rFonts w:ascii="Times New Roman" w:eastAsia="Times New Roman" w:hAnsi="Times New Roman" w:cs="Times New Roman"/>
          <w:color w:val="000000"/>
          <w:sz w:val="24"/>
          <w:szCs w:val="24"/>
        </w:rPr>
        <w:t>evolving. Additionally</w:t>
      </w:r>
      <w:r w:rsidR="0040490C">
        <w:rPr>
          <w:rFonts w:ascii="Times New Roman" w:eastAsia="Times New Roman" w:hAnsi="Times New Roman" w:cs="Times New Roman"/>
          <w:color w:val="000000"/>
          <w:sz w:val="24"/>
          <w:szCs w:val="24"/>
        </w:rPr>
        <w:t xml:space="preserve">, the Associate found no examples of how an EHR integrates patient-specific education resources into its workflow. An illustrative example of how MedlinePlus Connect is implemented and used within a generic EHR would benefit potential users of the MedlinePlus Connect resource. </w:t>
      </w:r>
    </w:p>
    <w:p w14:paraId="6F743263" w14:textId="77777777" w:rsidR="00DA2437" w:rsidRDefault="00DA2437"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p>
    <w:p w14:paraId="6F743264" w14:textId="77777777" w:rsidR="00F2426C" w:rsidRPr="006E1961" w:rsidRDefault="00F2426C" w:rsidP="00F1758F">
      <w:pPr>
        <w:spacing w:before="100" w:beforeAutospacing="1" w:after="100" w:afterAutospacing="1"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conclusion, the project determined a solid list of patient-</w:t>
      </w:r>
      <w:r w:rsidR="003D75D6">
        <w:rPr>
          <w:rFonts w:ascii="Times New Roman" w:eastAsia="Times New Roman" w:hAnsi="Times New Roman" w:cs="Times New Roman"/>
          <w:color w:val="000000"/>
          <w:sz w:val="24"/>
          <w:szCs w:val="24"/>
        </w:rPr>
        <w:t xml:space="preserve">specific </w:t>
      </w:r>
      <w:r>
        <w:rPr>
          <w:rFonts w:ascii="Times New Roman" w:eastAsia="Times New Roman" w:hAnsi="Times New Roman" w:cs="Times New Roman"/>
          <w:color w:val="000000"/>
          <w:sz w:val="24"/>
          <w:szCs w:val="24"/>
        </w:rPr>
        <w:t>education information resources to be</w:t>
      </w:r>
      <w:r w:rsidR="003D75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considered by the MedlinePlus Connect team. While this list cannot be assumed as complete because of the low percentage of 170.302(m) certified products</w:t>
      </w:r>
      <w:r w:rsidR="00AE7683">
        <w:rPr>
          <w:rFonts w:ascii="Times New Roman" w:eastAsia="Times New Roman" w:hAnsi="Times New Roman" w:cs="Times New Roman"/>
          <w:color w:val="000000"/>
          <w:sz w:val="24"/>
          <w:szCs w:val="24"/>
        </w:rPr>
        <w:t xml:space="preserve"> that actually provide information about their patient-education resources, </w:t>
      </w:r>
      <w:r w:rsidR="0040490C">
        <w:rPr>
          <w:rFonts w:ascii="Times New Roman" w:eastAsia="Times New Roman" w:hAnsi="Times New Roman" w:cs="Times New Roman"/>
          <w:color w:val="000000"/>
          <w:sz w:val="24"/>
          <w:szCs w:val="24"/>
        </w:rPr>
        <w:t xml:space="preserve">the list creates a starting point and initial list </w:t>
      </w:r>
      <w:r w:rsidR="00AE7683">
        <w:rPr>
          <w:rFonts w:ascii="Times New Roman" w:eastAsia="Times New Roman" w:hAnsi="Times New Roman" w:cs="Times New Roman"/>
          <w:color w:val="000000"/>
          <w:sz w:val="24"/>
          <w:szCs w:val="24"/>
        </w:rPr>
        <w:t xml:space="preserve">for future discussion, comparison, and research. </w:t>
      </w:r>
    </w:p>
    <w:p w14:paraId="6F743265" w14:textId="77777777" w:rsidR="00DD1220" w:rsidRPr="002B7283" w:rsidRDefault="00894E46" w:rsidP="002B7283">
      <w:pPr>
        <w:pStyle w:val="Heading1"/>
        <w:rPr>
          <w:color w:val="auto"/>
        </w:rPr>
      </w:pPr>
      <w:bookmarkStart w:id="32" w:name="_Toc284948720"/>
      <w:r w:rsidRPr="002B7283">
        <w:rPr>
          <w:color w:val="auto"/>
        </w:rPr>
        <w:t>References</w:t>
      </w:r>
      <w:bookmarkEnd w:id="32"/>
    </w:p>
    <w:p w14:paraId="6F743266" w14:textId="77777777" w:rsidR="00894E46" w:rsidRPr="00896265" w:rsidRDefault="00894E46" w:rsidP="00F1758F">
      <w:pPr>
        <w:spacing w:line="360" w:lineRule="auto"/>
        <w:contextualSpacing/>
        <w:rPr>
          <w:rFonts w:ascii="Times New Roman" w:hAnsi="Times New Roman" w:cs="Times New Roman"/>
        </w:rPr>
      </w:pPr>
    </w:p>
    <w:p w14:paraId="6F743267" w14:textId="77777777" w:rsidR="00894E46" w:rsidRPr="00136268" w:rsidRDefault="00894E46" w:rsidP="00F1758F">
      <w:pPr>
        <w:pStyle w:val="ListParagraph"/>
        <w:numPr>
          <w:ilvl w:val="0"/>
          <w:numId w:val="5"/>
        </w:numPr>
        <w:spacing w:line="360" w:lineRule="auto"/>
        <w:rPr>
          <w:rFonts w:ascii="Times New Roman" w:hAnsi="Times New Roman" w:cs="Times New Roman"/>
          <w:sz w:val="24"/>
          <w:szCs w:val="24"/>
        </w:rPr>
      </w:pPr>
      <w:r w:rsidRPr="00136268">
        <w:rPr>
          <w:rFonts w:ascii="Times New Roman" w:hAnsi="Times New Roman" w:cs="Times New Roman"/>
          <w:sz w:val="24"/>
          <w:szCs w:val="24"/>
        </w:rPr>
        <w:t>MedlinePlus Connect: Linking Electronic Health Records (EHRs) to MedlinePlus Health Information</w:t>
      </w:r>
      <w:r w:rsidR="00136268" w:rsidRPr="00136268">
        <w:rPr>
          <w:rFonts w:ascii="Times New Roman" w:hAnsi="Times New Roman" w:cs="Times New Roman"/>
          <w:sz w:val="24"/>
          <w:szCs w:val="24"/>
        </w:rPr>
        <w:t xml:space="preserve"> [Internet]</w:t>
      </w:r>
      <w:r w:rsidRPr="00136268">
        <w:rPr>
          <w:rFonts w:ascii="Times New Roman" w:hAnsi="Times New Roman" w:cs="Times New Roman"/>
          <w:sz w:val="24"/>
          <w:szCs w:val="24"/>
        </w:rPr>
        <w:t>.</w:t>
      </w:r>
      <w:r w:rsidR="00136268" w:rsidRPr="00136268">
        <w:rPr>
          <w:rFonts w:ascii="Times New Roman" w:hAnsi="Times New Roman" w:cs="Times New Roman"/>
          <w:sz w:val="24"/>
          <w:szCs w:val="24"/>
        </w:rPr>
        <w:t xml:space="preserve"> Bethesda (MD): National Library of Medicine (US); [updated 2010 November 9; cited 2011 January 11]. Available from </w:t>
      </w:r>
      <w:r w:rsidRPr="00136268">
        <w:rPr>
          <w:rFonts w:ascii="Times New Roman" w:hAnsi="Times New Roman" w:cs="Times New Roman"/>
          <w:sz w:val="24"/>
          <w:szCs w:val="24"/>
        </w:rPr>
        <w:t xml:space="preserve">http://www.nlm.nih.gov/medlineplus/connect/overview.html </w:t>
      </w:r>
    </w:p>
    <w:p w14:paraId="6F743268" w14:textId="77777777" w:rsidR="001E2FC9" w:rsidRDefault="001E2FC9" w:rsidP="00F1758F">
      <w:pPr>
        <w:spacing w:line="360" w:lineRule="auto"/>
        <w:contextualSpacing/>
        <w:rPr>
          <w:rFonts w:ascii="Times New Roman" w:hAnsi="Times New Roman" w:cs="Times New Roman"/>
          <w:sz w:val="24"/>
          <w:szCs w:val="24"/>
        </w:rPr>
      </w:pPr>
    </w:p>
    <w:p w14:paraId="6F743269" w14:textId="77777777" w:rsidR="001E2FC9" w:rsidRDefault="00136268" w:rsidP="00F1758F">
      <w:pPr>
        <w:pStyle w:val="ListParagraph"/>
        <w:numPr>
          <w:ilvl w:val="0"/>
          <w:numId w:val="5"/>
        </w:numPr>
        <w:spacing w:line="360" w:lineRule="auto"/>
        <w:rPr>
          <w:rFonts w:ascii="Times New Roman" w:hAnsi="Times New Roman" w:cs="Times New Roman"/>
          <w:sz w:val="24"/>
          <w:szCs w:val="24"/>
        </w:rPr>
      </w:pPr>
      <w:r w:rsidRPr="00136268">
        <w:rPr>
          <w:rFonts w:ascii="Times New Roman" w:hAnsi="Times New Roman" w:cs="Times New Roman"/>
          <w:sz w:val="24"/>
          <w:szCs w:val="24"/>
        </w:rPr>
        <w:t xml:space="preserve">MedlinePlus Connect: Technical Information [Internet]. Bethesda (MD): National Library of Medicine (US); [updated </w:t>
      </w:r>
      <w:r w:rsidR="00B13A8B">
        <w:rPr>
          <w:rFonts w:ascii="Times New Roman" w:hAnsi="Times New Roman" w:cs="Times New Roman"/>
          <w:sz w:val="24"/>
          <w:szCs w:val="24"/>
        </w:rPr>
        <w:t>2010 November 15</w:t>
      </w:r>
      <w:r w:rsidRPr="00136268">
        <w:rPr>
          <w:rFonts w:ascii="Times New Roman" w:hAnsi="Times New Roman" w:cs="Times New Roman"/>
          <w:sz w:val="24"/>
          <w:szCs w:val="24"/>
        </w:rPr>
        <w:t xml:space="preserve">; cited 2011 January 11]. Available from </w:t>
      </w:r>
      <w:r w:rsidR="00B13A8B" w:rsidRPr="009B5A89">
        <w:rPr>
          <w:rFonts w:ascii="Times New Roman" w:hAnsi="Times New Roman" w:cs="Times New Roman"/>
          <w:sz w:val="24"/>
          <w:szCs w:val="24"/>
        </w:rPr>
        <w:t>http://www.nlm.nih.gov/medlineplus/connect/technical.html</w:t>
      </w:r>
    </w:p>
    <w:p w14:paraId="6F74326A" w14:textId="77777777" w:rsidR="00B13A8B" w:rsidRPr="00B13A8B" w:rsidRDefault="00B13A8B" w:rsidP="00F1758F">
      <w:pPr>
        <w:pStyle w:val="ListParagraph"/>
        <w:spacing w:line="360" w:lineRule="auto"/>
        <w:rPr>
          <w:rFonts w:ascii="Times New Roman" w:hAnsi="Times New Roman" w:cs="Times New Roman"/>
          <w:sz w:val="24"/>
          <w:szCs w:val="24"/>
        </w:rPr>
      </w:pPr>
    </w:p>
    <w:p w14:paraId="6F74326B" w14:textId="77777777" w:rsidR="00B13A8B" w:rsidRDefault="00B13A8B" w:rsidP="00F1758F">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Temporary Certification Program [Internet]. Bethesda (MD): National Library of Medicine (US); [updated 2010 October 1; cited January 11]. Available from </w:t>
      </w:r>
      <w:r w:rsidRPr="009B5A89">
        <w:rPr>
          <w:rFonts w:ascii="Times New Roman" w:hAnsi="Times New Roman" w:cs="Times New Roman"/>
          <w:sz w:val="24"/>
          <w:szCs w:val="24"/>
        </w:rPr>
        <w:t>http://healthit.hhs.gov/portal/server.pt?open=512&amp;objID=2885&amp;mode=2</w:t>
      </w:r>
      <w:r>
        <w:rPr>
          <w:rFonts w:ascii="Times New Roman" w:hAnsi="Times New Roman" w:cs="Times New Roman"/>
          <w:sz w:val="24"/>
          <w:szCs w:val="24"/>
        </w:rPr>
        <w:t xml:space="preserve"> </w:t>
      </w:r>
    </w:p>
    <w:p w14:paraId="6F74326C" w14:textId="77777777" w:rsidR="00B13A8B" w:rsidRPr="00B13A8B" w:rsidRDefault="00B13A8B" w:rsidP="00F1758F">
      <w:pPr>
        <w:pStyle w:val="ListParagraph"/>
        <w:spacing w:line="360" w:lineRule="auto"/>
        <w:rPr>
          <w:rFonts w:ascii="Times New Roman" w:hAnsi="Times New Roman" w:cs="Times New Roman"/>
          <w:sz w:val="24"/>
          <w:szCs w:val="24"/>
        </w:rPr>
      </w:pPr>
    </w:p>
    <w:p w14:paraId="6F74326D" w14:textId="77777777" w:rsidR="00B13A8B" w:rsidRPr="00B13A8B" w:rsidRDefault="00B13A8B" w:rsidP="00F1758F">
      <w:pPr>
        <w:pStyle w:val="Default"/>
        <w:numPr>
          <w:ilvl w:val="0"/>
          <w:numId w:val="5"/>
        </w:numPr>
        <w:spacing w:line="360" w:lineRule="auto"/>
      </w:pPr>
      <w:r>
        <w:rPr>
          <w:rFonts w:ascii="Times New Roman" w:hAnsi="Times New Roman" w:cs="Times New Roman"/>
        </w:rPr>
        <w:t xml:space="preserve">Test Procedure for </w:t>
      </w:r>
      <w:r w:rsidRPr="00B13A8B">
        <w:rPr>
          <w:rFonts w:ascii="Times New Roman" w:hAnsi="Times New Roman" w:cs="Times New Roman"/>
          <w:bCs/>
        </w:rPr>
        <w:t>§</w:t>
      </w:r>
      <w:r>
        <w:rPr>
          <w:rFonts w:ascii="Times New Roman" w:hAnsi="Times New Roman" w:cs="Times New Roman"/>
        </w:rPr>
        <w:t xml:space="preserve">170.302(m) Patient-specific education resources [Internet]. </w:t>
      </w:r>
      <w:r w:rsidR="009B5A89">
        <w:rPr>
          <w:rFonts w:ascii="Times New Roman" w:hAnsi="Times New Roman" w:cs="Times New Roman"/>
        </w:rPr>
        <w:t xml:space="preserve">Gaithersburg (MD): National Institute of Standards and Technology; [updated 2010 August 13; cited 2011 January 11]. Available from </w:t>
      </w:r>
      <w:r w:rsidRPr="00B13A8B">
        <w:rPr>
          <w:rFonts w:ascii="Times New Roman" w:hAnsi="Times New Roman" w:cs="Times New Roman"/>
        </w:rPr>
        <w:t>http://healthcare.nist.gov/docs/170.302.m_EducationResources_v1.0.pdf</w:t>
      </w:r>
    </w:p>
    <w:p w14:paraId="6F74326E" w14:textId="77777777" w:rsidR="00894E46" w:rsidRPr="00894E46" w:rsidRDefault="00894E46" w:rsidP="00F1758F">
      <w:pPr>
        <w:spacing w:line="360" w:lineRule="auto"/>
        <w:contextualSpacing/>
        <w:rPr>
          <w:rFonts w:ascii="Times New Roman" w:hAnsi="Times New Roman" w:cs="Times New Roman"/>
        </w:rPr>
      </w:pPr>
    </w:p>
    <w:p w14:paraId="6F74326F" w14:textId="77777777" w:rsidR="00AB20AA" w:rsidRDefault="00AB20AA" w:rsidP="00F1758F">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6F743270" w14:textId="77777777" w:rsidR="00E20387" w:rsidRPr="002B7283" w:rsidRDefault="00E20387" w:rsidP="002B7283">
      <w:pPr>
        <w:pStyle w:val="Heading1"/>
        <w:rPr>
          <w:color w:val="auto"/>
          <w:sz w:val="24"/>
          <w:szCs w:val="24"/>
        </w:rPr>
      </w:pPr>
      <w:bookmarkStart w:id="33" w:name="_Toc284948721"/>
      <w:r w:rsidRPr="002B7283">
        <w:rPr>
          <w:color w:val="auto"/>
        </w:rPr>
        <w:lastRenderedPageBreak/>
        <w:t>Appendices</w:t>
      </w:r>
      <w:bookmarkEnd w:id="33"/>
    </w:p>
    <w:p w14:paraId="6F743271" w14:textId="77777777" w:rsidR="006C4175" w:rsidRPr="002B7283" w:rsidRDefault="006C4175" w:rsidP="002B7283">
      <w:pPr>
        <w:pStyle w:val="Heading2"/>
        <w:rPr>
          <w:rFonts w:ascii="Times New Roman" w:hAnsi="Times New Roman" w:cs="Times New Roman"/>
          <w:color w:val="auto"/>
          <w:sz w:val="24"/>
          <w:szCs w:val="24"/>
        </w:rPr>
      </w:pPr>
      <w:bookmarkStart w:id="34" w:name="_Toc284948722"/>
      <w:r w:rsidRPr="002B7283">
        <w:rPr>
          <w:rFonts w:ascii="Times New Roman" w:hAnsi="Times New Roman" w:cs="Times New Roman"/>
          <w:color w:val="auto"/>
          <w:sz w:val="24"/>
          <w:szCs w:val="24"/>
        </w:rPr>
        <w:t>Appendix A: Original Project Proposal</w:t>
      </w:r>
      <w:bookmarkEnd w:id="34"/>
      <w:r w:rsidRPr="002B7283">
        <w:rPr>
          <w:rFonts w:ascii="Times New Roman" w:hAnsi="Times New Roman" w:cs="Times New Roman"/>
          <w:color w:val="auto"/>
          <w:sz w:val="24"/>
          <w:szCs w:val="24"/>
        </w:rPr>
        <w:t xml:space="preserve"> </w:t>
      </w:r>
    </w:p>
    <w:p w14:paraId="6F743272" w14:textId="77777777" w:rsidR="006C4175" w:rsidRDefault="006C4175" w:rsidP="00F1758F">
      <w:pPr>
        <w:spacing w:line="360" w:lineRule="auto"/>
        <w:contextualSpacing/>
      </w:pPr>
    </w:p>
    <w:p w14:paraId="6F743273" w14:textId="77777777" w:rsidR="006C4175" w:rsidRPr="00AE0EA9" w:rsidRDefault="006C4175" w:rsidP="00F1758F">
      <w:pPr>
        <w:spacing w:line="360" w:lineRule="auto"/>
        <w:jc w:val="center"/>
        <w:rPr>
          <w:rFonts w:ascii="Times New Roman" w:hAnsi="Times New Roman"/>
          <w:b/>
          <w:sz w:val="24"/>
          <w:szCs w:val="24"/>
        </w:rPr>
      </w:pPr>
      <w:r w:rsidRPr="00AE0EA9">
        <w:rPr>
          <w:rFonts w:ascii="Times New Roman" w:hAnsi="Times New Roman"/>
          <w:b/>
          <w:sz w:val="24"/>
          <w:szCs w:val="24"/>
        </w:rPr>
        <w:t>Fall 2010 Project Proposal: Researching EHR Systems with a Patient Education Component</w:t>
      </w:r>
    </w:p>
    <w:p w14:paraId="6F743274" w14:textId="77777777" w:rsidR="006C4175" w:rsidRPr="00AE0EA9" w:rsidRDefault="006C4175" w:rsidP="00F1758F">
      <w:pPr>
        <w:spacing w:line="360" w:lineRule="auto"/>
        <w:rPr>
          <w:rFonts w:ascii="Times New Roman" w:hAnsi="Times New Roman"/>
          <w:sz w:val="24"/>
          <w:szCs w:val="24"/>
        </w:rPr>
      </w:pPr>
    </w:p>
    <w:p w14:paraId="6F743275" w14:textId="77777777" w:rsidR="006C4175" w:rsidRPr="00AE0EA9" w:rsidRDefault="006C4175" w:rsidP="00F1758F">
      <w:pPr>
        <w:spacing w:line="360" w:lineRule="auto"/>
        <w:rPr>
          <w:rFonts w:ascii="Times New Roman" w:hAnsi="Times New Roman"/>
          <w:sz w:val="24"/>
          <w:szCs w:val="24"/>
        </w:rPr>
      </w:pPr>
      <w:r w:rsidRPr="00AE0EA9">
        <w:rPr>
          <w:rFonts w:ascii="Times New Roman" w:hAnsi="Times New Roman"/>
          <w:sz w:val="24"/>
          <w:szCs w:val="24"/>
        </w:rPr>
        <w:t xml:space="preserve">Submitted by: </w:t>
      </w:r>
      <w:r w:rsidRPr="00AE0EA9">
        <w:rPr>
          <w:rFonts w:ascii="Times New Roman" w:hAnsi="Times New Roman"/>
          <w:sz w:val="24"/>
          <w:szCs w:val="24"/>
        </w:rPr>
        <w:br/>
        <w:t xml:space="preserve">Stephanie Dennis, RWS, PSD </w:t>
      </w:r>
    </w:p>
    <w:p w14:paraId="6F743276" w14:textId="77777777" w:rsidR="006C4175" w:rsidRPr="00AE0EA9" w:rsidRDefault="006C4175" w:rsidP="00F1758F">
      <w:pPr>
        <w:spacing w:line="360" w:lineRule="auto"/>
        <w:rPr>
          <w:rFonts w:ascii="Times New Roman" w:hAnsi="Times New Roman"/>
          <w:sz w:val="24"/>
          <w:szCs w:val="24"/>
        </w:rPr>
      </w:pPr>
    </w:p>
    <w:p w14:paraId="6F743277" w14:textId="77777777" w:rsidR="006C4175" w:rsidRPr="00AE0EA9" w:rsidRDefault="006C4175" w:rsidP="00F1758F">
      <w:pPr>
        <w:spacing w:line="360" w:lineRule="auto"/>
        <w:rPr>
          <w:rFonts w:ascii="Times New Roman" w:hAnsi="Times New Roman"/>
          <w:sz w:val="24"/>
          <w:szCs w:val="24"/>
        </w:rPr>
      </w:pPr>
      <w:r w:rsidRPr="00AE0EA9">
        <w:rPr>
          <w:rFonts w:ascii="Times New Roman" w:hAnsi="Times New Roman"/>
          <w:sz w:val="24"/>
          <w:szCs w:val="24"/>
        </w:rPr>
        <w:t xml:space="preserve">Description: </w:t>
      </w:r>
      <w:r w:rsidRPr="00AE0EA9">
        <w:rPr>
          <w:rFonts w:ascii="Times New Roman" w:hAnsi="Times New Roman"/>
          <w:sz w:val="24"/>
          <w:szCs w:val="24"/>
        </w:rPr>
        <w:br/>
        <w:t xml:space="preserve">MedlinePlus Connect is a service that brings relevant consumer information from MedlinePlus to patients or providers using an Electronic Health Record (EHR). As we develop MedlinePlus Connect, it will be helpful to better understand the depth and breadth of such services available for providing patient education information. The optional Meaningful Use criterion to provide patient-specific education resources is focusing attention on providing these materials from inside an EHR. </w:t>
      </w:r>
    </w:p>
    <w:p w14:paraId="6F743278" w14:textId="77777777" w:rsidR="006C4175" w:rsidRPr="00AE0EA9" w:rsidRDefault="006C4175" w:rsidP="00F1758F">
      <w:pPr>
        <w:spacing w:line="360" w:lineRule="auto"/>
        <w:rPr>
          <w:rFonts w:ascii="Times New Roman" w:hAnsi="Times New Roman"/>
          <w:sz w:val="24"/>
          <w:szCs w:val="24"/>
        </w:rPr>
      </w:pPr>
    </w:p>
    <w:p w14:paraId="6F743279" w14:textId="26CFEAC1" w:rsidR="006C4175" w:rsidRPr="00AE0EA9" w:rsidRDefault="006C4175" w:rsidP="00F1758F">
      <w:pPr>
        <w:spacing w:line="360" w:lineRule="auto"/>
        <w:rPr>
          <w:rFonts w:ascii="Times New Roman" w:hAnsi="Times New Roman"/>
          <w:sz w:val="24"/>
          <w:szCs w:val="24"/>
        </w:rPr>
      </w:pPr>
      <w:r w:rsidRPr="00AE0EA9">
        <w:rPr>
          <w:rFonts w:ascii="Times New Roman" w:hAnsi="Times New Roman"/>
          <w:sz w:val="24"/>
          <w:szCs w:val="24"/>
        </w:rPr>
        <w:t>An Associate would start with a defined list of known EHRs that meet the “patient education information” criteria, and investigate a number of questions, which may include:</w:t>
      </w:r>
    </w:p>
    <w:p w14:paraId="6F74327A" w14:textId="77777777" w:rsidR="006C4175" w:rsidRPr="00AE0EA9" w:rsidRDefault="006C4175" w:rsidP="00F1758F">
      <w:pPr>
        <w:spacing w:line="360" w:lineRule="auto"/>
        <w:rPr>
          <w:rFonts w:ascii="Times New Roman" w:hAnsi="Times New Roman"/>
          <w:sz w:val="24"/>
          <w:szCs w:val="24"/>
        </w:rPr>
      </w:pPr>
    </w:p>
    <w:p w14:paraId="6F74327B" w14:textId="77777777" w:rsidR="006C4175" w:rsidRPr="00AE0EA9" w:rsidRDefault="006C4175" w:rsidP="00F1758F">
      <w:pPr>
        <w:pStyle w:val="ListParagraph"/>
        <w:numPr>
          <w:ilvl w:val="0"/>
          <w:numId w:val="7"/>
        </w:numPr>
        <w:spacing w:line="360" w:lineRule="auto"/>
        <w:contextualSpacing w:val="0"/>
        <w:rPr>
          <w:rFonts w:ascii="Times New Roman" w:hAnsi="Times New Roman"/>
          <w:sz w:val="24"/>
          <w:szCs w:val="24"/>
        </w:rPr>
      </w:pPr>
      <w:r w:rsidRPr="00AE0EA9">
        <w:rPr>
          <w:rFonts w:ascii="Times New Roman" w:hAnsi="Times New Roman"/>
          <w:sz w:val="24"/>
          <w:szCs w:val="24"/>
        </w:rPr>
        <w:t xml:space="preserve"> Parent Company</w:t>
      </w:r>
    </w:p>
    <w:p w14:paraId="6F74327C" w14:textId="77777777" w:rsidR="006C4175" w:rsidRPr="00AE0EA9" w:rsidRDefault="006C4175" w:rsidP="00F1758F">
      <w:pPr>
        <w:pStyle w:val="ListParagraph"/>
        <w:numPr>
          <w:ilvl w:val="0"/>
          <w:numId w:val="7"/>
        </w:numPr>
        <w:spacing w:line="360" w:lineRule="auto"/>
        <w:contextualSpacing w:val="0"/>
        <w:rPr>
          <w:rFonts w:ascii="Times New Roman" w:hAnsi="Times New Roman"/>
          <w:sz w:val="24"/>
          <w:szCs w:val="24"/>
        </w:rPr>
      </w:pPr>
      <w:r w:rsidRPr="00AE0EA9">
        <w:rPr>
          <w:rFonts w:ascii="Times New Roman" w:hAnsi="Times New Roman"/>
          <w:sz w:val="24"/>
          <w:szCs w:val="24"/>
        </w:rPr>
        <w:t>Type of Customer - hospitals, outpatient practices, insurance companies, etc.</w:t>
      </w:r>
    </w:p>
    <w:p w14:paraId="6F74327D" w14:textId="77777777" w:rsidR="006C4175" w:rsidRPr="00AE0EA9" w:rsidRDefault="006C4175" w:rsidP="00F1758F">
      <w:pPr>
        <w:pStyle w:val="ListParagraph"/>
        <w:numPr>
          <w:ilvl w:val="0"/>
          <w:numId w:val="7"/>
        </w:numPr>
        <w:spacing w:line="360" w:lineRule="auto"/>
        <w:contextualSpacing w:val="0"/>
        <w:rPr>
          <w:rFonts w:ascii="Times New Roman" w:hAnsi="Times New Roman"/>
          <w:sz w:val="24"/>
          <w:szCs w:val="24"/>
        </w:rPr>
      </w:pPr>
      <w:r w:rsidRPr="00AE0EA9">
        <w:rPr>
          <w:rFonts w:ascii="Times New Roman" w:hAnsi="Times New Roman"/>
          <w:sz w:val="24"/>
          <w:szCs w:val="24"/>
        </w:rPr>
        <w:t>Type of User - Is this built for a provider to find information for individuals, or is it built for individual patients?</w:t>
      </w:r>
    </w:p>
    <w:p w14:paraId="6F74327E" w14:textId="77777777" w:rsidR="006C4175" w:rsidRPr="00AE0EA9" w:rsidRDefault="006C4175" w:rsidP="00F1758F">
      <w:pPr>
        <w:pStyle w:val="ListParagraph"/>
        <w:numPr>
          <w:ilvl w:val="0"/>
          <w:numId w:val="7"/>
        </w:numPr>
        <w:spacing w:line="360" w:lineRule="auto"/>
        <w:contextualSpacing w:val="0"/>
        <w:rPr>
          <w:rFonts w:ascii="Times New Roman" w:hAnsi="Times New Roman"/>
          <w:sz w:val="24"/>
          <w:szCs w:val="24"/>
        </w:rPr>
      </w:pPr>
      <w:r w:rsidRPr="00AE0EA9">
        <w:rPr>
          <w:rFonts w:ascii="Times New Roman" w:hAnsi="Times New Roman"/>
          <w:sz w:val="24"/>
          <w:szCs w:val="24"/>
        </w:rPr>
        <w:t>Source of patient education data</w:t>
      </w:r>
    </w:p>
    <w:p w14:paraId="6F74327F" w14:textId="77777777" w:rsidR="006C4175" w:rsidRPr="00AE0EA9" w:rsidRDefault="006C4175" w:rsidP="00F1758F">
      <w:pPr>
        <w:pStyle w:val="ListParagraph"/>
        <w:numPr>
          <w:ilvl w:val="0"/>
          <w:numId w:val="7"/>
        </w:numPr>
        <w:spacing w:line="360" w:lineRule="auto"/>
        <w:contextualSpacing w:val="0"/>
        <w:rPr>
          <w:rFonts w:ascii="Times New Roman" w:hAnsi="Times New Roman"/>
          <w:sz w:val="24"/>
          <w:szCs w:val="24"/>
        </w:rPr>
      </w:pPr>
      <w:r w:rsidRPr="00AE0EA9">
        <w:rPr>
          <w:rFonts w:ascii="Times New Roman" w:hAnsi="Times New Roman"/>
          <w:sz w:val="24"/>
          <w:szCs w:val="24"/>
        </w:rPr>
        <w:t>Coverage of patient education data – diagnoses, lab tests, drug information, etc.</w:t>
      </w:r>
    </w:p>
    <w:p w14:paraId="6F743280" w14:textId="77777777" w:rsidR="006C4175" w:rsidRPr="00AE0EA9" w:rsidRDefault="006C4175" w:rsidP="00F1758F">
      <w:pPr>
        <w:spacing w:line="360" w:lineRule="auto"/>
        <w:rPr>
          <w:rFonts w:ascii="Times New Roman" w:hAnsi="Times New Roman"/>
          <w:sz w:val="24"/>
          <w:szCs w:val="24"/>
        </w:rPr>
      </w:pPr>
      <w:proofErr w:type="gramStart"/>
      <w:r w:rsidRPr="00AE0EA9">
        <w:rPr>
          <w:rFonts w:ascii="Times New Roman" w:hAnsi="Times New Roman"/>
          <w:sz w:val="24"/>
          <w:szCs w:val="24"/>
        </w:rPr>
        <w:t>and</w:t>
      </w:r>
      <w:proofErr w:type="gramEnd"/>
      <w:r w:rsidRPr="00AE0EA9">
        <w:rPr>
          <w:rFonts w:ascii="Times New Roman" w:hAnsi="Times New Roman"/>
          <w:sz w:val="24"/>
          <w:szCs w:val="24"/>
        </w:rPr>
        <w:t xml:space="preserve"> other questions as discussed with the Associate and Project Leaders. </w:t>
      </w:r>
    </w:p>
    <w:p w14:paraId="6F743281" w14:textId="77777777" w:rsidR="006C4175" w:rsidRPr="00AE0EA9" w:rsidRDefault="006C4175" w:rsidP="00F1758F">
      <w:pPr>
        <w:spacing w:line="360" w:lineRule="auto"/>
        <w:rPr>
          <w:rFonts w:ascii="Times New Roman" w:hAnsi="Times New Roman"/>
          <w:sz w:val="24"/>
          <w:szCs w:val="24"/>
        </w:rPr>
      </w:pPr>
    </w:p>
    <w:p w14:paraId="6F743282" w14:textId="77777777" w:rsidR="006C4175" w:rsidRPr="00AE0EA9" w:rsidRDefault="006C4175" w:rsidP="00F1758F">
      <w:pPr>
        <w:spacing w:line="360" w:lineRule="auto"/>
        <w:rPr>
          <w:rFonts w:ascii="Times New Roman" w:hAnsi="Times New Roman"/>
          <w:sz w:val="24"/>
          <w:szCs w:val="24"/>
        </w:rPr>
      </w:pPr>
      <w:r w:rsidRPr="00AE0EA9">
        <w:rPr>
          <w:rFonts w:ascii="Times New Roman" w:hAnsi="Times New Roman"/>
          <w:sz w:val="24"/>
          <w:szCs w:val="24"/>
        </w:rPr>
        <w:t xml:space="preserve">Expected Output: </w:t>
      </w:r>
      <w:r w:rsidRPr="00AE0EA9">
        <w:rPr>
          <w:rFonts w:ascii="Times New Roman" w:hAnsi="Times New Roman"/>
          <w:sz w:val="24"/>
          <w:szCs w:val="24"/>
        </w:rPr>
        <w:br/>
        <w:t xml:space="preserve">A spreadsheet, perhaps with accompanying narrative that explains the uncovered answers for each system. </w:t>
      </w:r>
    </w:p>
    <w:p w14:paraId="6F743283" w14:textId="77777777" w:rsidR="006C4175" w:rsidRPr="00AE0EA9" w:rsidRDefault="006C4175" w:rsidP="00F1758F">
      <w:pPr>
        <w:spacing w:line="360" w:lineRule="auto"/>
        <w:rPr>
          <w:rFonts w:ascii="Times New Roman" w:hAnsi="Times New Roman"/>
          <w:sz w:val="24"/>
          <w:szCs w:val="24"/>
        </w:rPr>
      </w:pPr>
    </w:p>
    <w:p w14:paraId="6F743284" w14:textId="77777777" w:rsidR="006C4175" w:rsidRPr="00AE0EA9" w:rsidRDefault="006C4175" w:rsidP="00F1758F">
      <w:pPr>
        <w:spacing w:line="360" w:lineRule="auto"/>
        <w:rPr>
          <w:rFonts w:ascii="Times New Roman" w:hAnsi="Times New Roman"/>
          <w:sz w:val="24"/>
          <w:szCs w:val="24"/>
        </w:rPr>
      </w:pPr>
      <w:r w:rsidRPr="00AE0EA9">
        <w:rPr>
          <w:rFonts w:ascii="Times New Roman" w:hAnsi="Times New Roman"/>
          <w:sz w:val="24"/>
          <w:szCs w:val="24"/>
        </w:rPr>
        <w:t xml:space="preserve">Expected Amount of Time: </w:t>
      </w:r>
      <w:r w:rsidRPr="00AE0EA9">
        <w:rPr>
          <w:rFonts w:ascii="Times New Roman" w:hAnsi="Times New Roman"/>
          <w:sz w:val="24"/>
          <w:szCs w:val="24"/>
        </w:rPr>
        <w:br/>
        <w:t xml:space="preserve">60 hours, though it could take more or less time depending on available hours. </w:t>
      </w:r>
    </w:p>
    <w:p w14:paraId="6F743285" w14:textId="77777777" w:rsidR="006C4175" w:rsidRPr="00AE0EA9" w:rsidRDefault="006C4175" w:rsidP="00F1758F">
      <w:pPr>
        <w:spacing w:line="360" w:lineRule="auto"/>
        <w:rPr>
          <w:rFonts w:ascii="Times New Roman" w:hAnsi="Times New Roman"/>
          <w:sz w:val="24"/>
          <w:szCs w:val="24"/>
        </w:rPr>
      </w:pPr>
    </w:p>
    <w:p w14:paraId="6F743286" w14:textId="77777777" w:rsidR="006C4175" w:rsidRPr="00AE0EA9" w:rsidRDefault="006C4175" w:rsidP="00F1758F">
      <w:pPr>
        <w:spacing w:line="360" w:lineRule="auto"/>
        <w:rPr>
          <w:rFonts w:ascii="Times New Roman" w:hAnsi="Times New Roman"/>
          <w:sz w:val="24"/>
          <w:szCs w:val="24"/>
        </w:rPr>
      </w:pPr>
      <w:r w:rsidRPr="00AE0EA9">
        <w:rPr>
          <w:rFonts w:ascii="Times New Roman" w:hAnsi="Times New Roman"/>
          <w:sz w:val="24"/>
          <w:szCs w:val="24"/>
        </w:rPr>
        <w:t xml:space="preserve">Project Leaders: </w:t>
      </w:r>
      <w:r w:rsidRPr="00AE0EA9">
        <w:rPr>
          <w:rFonts w:ascii="Times New Roman" w:hAnsi="Times New Roman"/>
          <w:sz w:val="24"/>
          <w:szCs w:val="24"/>
        </w:rPr>
        <w:br/>
        <w:t>Joyce Backus, OC, PSD</w:t>
      </w:r>
    </w:p>
    <w:p w14:paraId="6F743287" w14:textId="77777777" w:rsidR="006C4175" w:rsidRPr="00AE0EA9" w:rsidRDefault="006C4175" w:rsidP="00F1758F">
      <w:pPr>
        <w:spacing w:line="360" w:lineRule="auto"/>
        <w:rPr>
          <w:rFonts w:ascii="Times New Roman" w:hAnsi="Times New Roman"/>
          <w:sz w:val="24"/>
          <w:szCs w:val="24"/>
        </w:rPr>
      </w:pPr>
      <w:r w:rsidRPr="00AE0EA9">
        <w:rPr>
          <w:rFonts w:ascii="Times New Roman" w:hAnsi="Times New Roman"/>
          <w:sz w:val="24"/>
          <w:szCs w:val="24"/>
        </w:rPr>
        <w:t>Stephanie Dennis, RWS, PSD</w:t>
      </w:r>
    </w:p>
    <w:p w14:paraId="6F743288" w14:textId="77777777" w:rsidR="006C4175" w:rsidRPr="00AE0EA9" w:rsidRDefault="006C4175" w:rsidP="00F1758F">
      <w:pPr>
        <w:spacing w:line="360" w:lineRule="auto"/>
        <w:rPr>
          <w:rFonts w:ascii="Times New Roman" w:hAnsi="Times New Roman"/>
          <w:sz w:val="24"/>
          <w:szCs w:val="24"/>
        </w:rPr>
      </w:pPr>
      <w:r w:rsidRPr="00AE0EA9">
        <w:rPr>
          <w:rFonts w:ascii="Times New Roman" w:hAnsi="Times New Roman"/>
          <w:sz w:val="24"/>
          <w:szCs w:val="24"/>
        </w:rPr>
        <w:t>Naomi Miller, OC, PSD</w:t>
      </w:r>
    </w:p>
    <w:p w14:paraId="6F743289" w14:textId="77777777" w:rsidR="006C4175" w:rsidRDefault="006C4175" w:rsidP="00F1758F">
      <w:pPr>
        <w:spacing w:line="360" w:lineRule="auto"/>
        <w:rPr>
          <w:rFonts w:ascii="Times New Roman" w:eastAsia="ヒラギノ角ゴ Pro W3" w:hAnsi="Times New Roman" w:cs="Times New Roman"/>
          <w:b/>
          <w:sz w:val="24"/>
          <w:szCs w:val="24"/>
        </w:rPr>
      </w:pPr>
    </w:p>
    <w:p w14:paraId="6F74328A" w14:textId="77777777" w:rsidR="004546DD" w:rsidRDefault="004546DD" w:rsidP="00F1758F">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6F74328B" w14:textId="77777777" w:rsidR="006C4175" w:rsidRPr="002B7283" w:rsidRDefault="006C4175" w:rsidP="002B7283">
      <w:pPr>
        <w:pStyle w:val="Heading2"/>
        <w:rPr>
          <w:rFonts w:ascii="Times New Roman" w:hAnsi="Times New Roman" w:cs="Times New Roman"/>
          <w:color w:val="auto"/>
          <w:sz w:val="24"/>
          <w:szCs w:val="24"/>
        </w:rPr>
      </w:pPr>
      <w:bookmarkStart w:id="35" w:name="_Toc284948723"/>
      <w:r w:rsidRPr="002B7283">
        <w:rPr>
          <w:rFonts w:ascii="Times New Roman" w:hAnsi="Times New Roman" w:cs="Times New Roman"/>
          <w:color w:val="auto"/>
          <w:sz w:val="24"/>
          <w:szCs w:val="24"/>
        </w:rPr>
        <w:lastRenderedPageBreak/>
        <w:t>Appendix B:  Project Meeting Timeline</w:t>
      </w:r>
      <w:bookmarkEnd w:id="35"/>
      <w:r w:rsidRPr="002B7283">
        <w:rPr>
          <w:rFonts w:ascii="Times New Roman" w:hAnsi="Times New Roman" w:cs="Times New Roman"/>
          <w:color w:val="auto"/>
          <w:sz w:val="24"/>
          <w:szCs w:val="24"/>
        </w:rPr>
        <w:t xml:space="preserve"> </w:t>
      </w:r>
    </w:p>
    <w:p w14:paraId="6F74328C" w14:textId="77777777" w:rsidR="006C4175" w:rsidRDefault="006C4175" w:rsidP="00F1758F">
      <w:pPr>
        <w:spacing w:line="360" w:lineRule="auto"/>
        <w:contextualSpacing/>
        <w:rPr>
          <w:b/>
        </w:rPr>
      </w:pPr>
    </w:p>
    <w:p w14:paraId="6F74328D" w14:textId="77777777" w:rsidR="006C4175" w:rsidRPr="0004352C" w:rsidRDefault="006C4175" w:rsidP="00F1758F">
      <w:pPr>
        <w:spacing w:line="360" w:lineRule="auto"/>
        <w:contextualSpacing/>
        <w:rPr>
          <w:rFonts w:ascii="Times New Roman" w:hAnsi="Times New Roman" w:cs="Times New Roman"/>
          <w:b/>
          <w:sz w:val="24"/>
          <w:szCs w:val="24"/>
        </w:rPr>
      </w:pPr>
      <w:r w:rsidRPr="0004352C">
        <w:rPr>
          <w:rFonts w:ascii="Times New Roman" w:hAnsi="Times New Roman" w:cs="Times New Roman"/>
          <w:b/>
          <w:sz w:val="24"/>
          <w:szCs w:val="24"/>
        </w:rPr>
        <w:t>October 20</w:t>
      </w:r>
      <w:r w:rsidR="002B2BC0">
        <w:rPr>
          <w:rFonts w:ascii="Times New Roman" w:hAnsi="Times New Roman" w:cs="Times New Roman"/>
          <w:b/>
          <w:sz w:val="24"/>
          <w:szCs w:val="24"/>
        </w:rPr>
        <w:t>10</w:t>
      </w:r>
    </w:p>
    <w:p w14:paraId="6F74328E" w14:textId="77777777" w:rsidR="006C4175" w:rsidRPr="0004352C" w:rsidRDefault="006C4175" w:rsidP="00F1758F">
      <w:pPr>
        <w:spacing w:line="360" w:lineRule="auto"/>
        <w:contextualSpacing/>
        <w:rPr>
          <w:rFonts w:ascii="Times New Roman" w:hAnsi="Times New Roman" w:cs="Times New Roman"/>
          <w:sz w:val="24"/>
          <w:szCs w:val="24"/>
        </w:rPr>
      </w:pPr>
    </w:p>
    <w:p w14:paraId="6F74328F" w14:textId="77777777" w:rsidR="006C4175" w:rsidRPr="0004352C" w:rsidRDefault="006C4175" w:rsidP="00F1758F">
      <w:pPr>
        <w:spacing w:line="360" w:lineRule="auto"/>
        <w:ind w:left="1440" w:hanging="1440"/>
        <w:contextualSpacing/>
        <w:rPr>
          <w:rFonts w:ascii="Times New Roman" w:hAnsi="Times New Roman" w:cs="Times New Roman"/>
          <w:sz w:val="24"/>
          <w:szCs w:val="24"/>
        </w:rPr>
      </w:pPr>
      <w:r w:rsidRPr="0004352C">
        <w:rPr>
          <w:rFonts w:ascii="Times New Roman" w:hAnsi="Times New Roman" w:cs="Times New Roman"/>
          <w:sz w:val="24"/>
          <w:szCs w:val="24"/>
        </w:rPr>
        <w:t xml:space="preserve">October 20: </w:t>
      </w:r>
      <w:r w:rsidRPr="0004352C">
        <w:rPr>
          <w:rFonts w:ascii="Times New Roman" w:hAnsi="Times New Roman" w:cs="Times New Roman"/>
          <w:sz w:val="24"/>
          <w:szCs w:val="24"/>
        </w:rPr>
        <w:tab/>
        <w:t xml:space="preserve">Kathel Dunn, Coordinator of the Associate Fellowship Program, sends out the list of proposed Fall Projects to all </w:t>
      </w:r>
      <w:r w:rsidR="0040490C">
        <w:rPr>
          <w:rFonts w:ascii="Times New Roman" w:hAnsi="Times New Roman" w:cs="Times New Roman"/>
          <w:sz w:val="24"/>
          <w:szCs w:val="24"/>
        </w:rPr>
        <w:t>A</w:t>
      </w:r>
      <w:r w:rsidRPr="0004352C">
        <w:rPr>
          <w:rFonts w:ascii="Times New Roman" w:hAnsi="Times New Roman" w:cs="Times New Roman"/>
          <w:sz w:val="24"/>
          <w:szCs w:val="24"/>
        </w:rPr>
        <w:t xml:space="preserve">ssociates. </w:t>
      </w:r>
    </w:p>
    <w:p w14:paraId="6F743290" w14:textId="77777777" w:rsidR="006C4175" w:rsidRPr="0004352C" w:rsidRDefault="006C4175" w:rsidP="00F1758F">
      <w:pPr>
        <w:spacing w:line="360" w:lineRule="auto"/>
        <w:ind w:left="1440" w:hanging="1440"/>
        <w:contextualSpacing/>
        <w:rPr>
          <w:rFonts w:ascii="Times New Roman" w:hAnsi="Times New Roman" w:cs="Times New Roman"/>
          <w:sz w:val="24"/>
          <w:szCs w:val="24"/>
        </w:rPr>
      </w:pPr>
    </w:p>
    <w:p w14:paraId="6F743291" w14:textId="77777777" w:rsidR="006C4175" w:rsidRPr="0004352C" w:rsidRDefault="006C4175" w:rsidP="00F1758F">
      <w:pPr>
        <w:spacing w:line="360" w:lineRule="auto"/>
        <w:contextualSpacing/>
        <w:rPr>
          <w:rFonts w:ascii="Times New Roman" w:hAnsi="Times New Roman" w:cs="Times New Roman"/>
          <w:b/>
          <w:sz w:val="24"/>
          <w:szCs w:val="24"/>
        </w:rPr>
      </w:pPr>
      <w:r w:rsidRPr="0004352C">
        <w:rPr>
          <w:rFonts w:ascii="Times New Roman" w:hAnsi="Times New Roman" w:cs="Times New Roman"/>
          <w:b/>
          <w:sz w:val="24"/>
          <w:szCs w:val="24"/>
        </w:rPr>
        <w:t>November 20</w:t>
      </w:r>
      <w:r w:rsidR="002B2BC0">
        <w:rPr>
          <w:rFonts w:ascii="Times New Roman" w:hAnsi="Times New Roman" w:cs="Times New Roman"/>
          <w:b/>
          <w:sz w:val="24"/>
          <w:szCs w:val="24"/>
        </w:rPr>
        <w:t>10</w:t>
      </w:r>
    </w:p>
    <w:p w14:paraId="6F743292" w14:textId="77777777" w:rsidR="006C4175" w:rsidRDefault="006C4175" w:rsidP="00F1758F">
      <w:pPr>
        <w:spacing w:line="360" w:lineRule="auto"/>
        <w:rPr>
          <w:rFonts w:ascii="Times New Roman" w:eastAsia="ヒラギノ角ゴ Pro W3" w:hAnsi="Times New Roman" w:cs="Times New Roman"/>
          <w:b/>
          <w:sz w:val="24"/>
          <w:szCs w:val="24"/>
        </w:rPr>
      </w:pPr>
    </w:p>
    <w:p w14:paraId="6F743293" w14:textId="77777777" w:rsidR="0004352C" w:rsidRDefault="0004352C" w:rsidP="00F1758F">
      <w:pPr>
        <w:spacing w:line="36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November 5: </w:t>
      </w:r>
      <w:r>
        <w:rPr>
          <w:rFonts w:ascii="Times New Roman" w:eastAsia="ヒラギノ角ゴ Pro W3" w:hAnsi="Times New Roman" w:cs="Times New Roman"/>
          <w:sz w:val="24"/>
          <w:szCs w:val="24"/>
        </w:rPr>
        <w:tab/>
        <w:t xml:space="preserve">Team members emailed. Begin work on MedlinePlus Connect. </w:t>
      </w:r>
    </w:p>
    <w:p w14:paraId="6F743294" w14:textId="77777777" w:rsidR="0004352C" w:rsidRDefault="0004352C" w:rsidP="00F1758F">
      <w:pPr>
        <w:spacing w:line="360" w:lineRule="auto"/>
        <w:rPr>
          <w:rFonts w:ascii="Times New Roman" w:eastAsia="ヒラギノ角ゴ Pro W3" w:hAnsi="Times New Roman" w:cs="Times New Roman"/>
          <w:sz w:val="24"/>
          <w:szCs w:val="24"/>
        </w:rPr>
      </w:pPr>
    </w:p>
    <w:p w14:paraId="6F743295" w14:textId="77777777" w:rsidR="0004352C" w:rsidRDefault="0004352C" w:rsidP="00F1758F">
      <w:pPr>
        <w:spacing w:line="36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November 9: </w:t>
      </w:r>
      <w:r>
        <w:rPr>
          <w:rFonts w:ascii="Times New Roman" w:eastAsia="ヒラギノ角ゴ Pro W3" w:hAnsi="Times New Roman" w:cs="Times New Roman"/>
          <w:sz w:val="24"/>
          <w:szCs w:val="24"/>
        </w:rPr>
        <w:tab/>
        <w:t>MedlinePlus Connect formally announced by NLM</w:t>
      </w:r>
    </w:p>
    <w:p w14:paraId="6F743296" w14:textId="77777777" w:rsidR="0004352C" w:rsidRDefault="0004352C" w:rsidP="00F1758F">
      <w:pPr>
        <w:spacing w:line="360" w:lineRule="auto"/>
        <w:rPr>
          <w:rFonts w:ascii="Times New Roman" w:eastAsia="ヒラギノ角ゴ Pro W3" w:hAnsi="Times New Roman" w:cs="Times New Roman"/>
          <w:sz w:val="24"/>
          <w:szCs w:val="24"/>
        </w:rPr>
      </w:pPr>
    </w:p>
    <w:p w14:paraId="6F743297" w14:textId="77777777" w:rsidR="0004352C" w:rsidRDefault="0004352C" w:rsidP="00F1758F">
      <w:pPr>
        <w:spacing w:line="360" w:lineRule="auto"/>
        <w:ind w:left="1440" w:hanging="144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November12: </w:t>
      </w:r>
      <w:r>
        <w:rPr>
          <w:rFonts w:ascii="Times New Roman" w:eastAsia="ヒラギノ角ゴ Pro W3" w:hAnsi="Times New Roman" w:cs="Times New Roman"/>
          <w:sz w:val="24"/>
          <w:szCs w:val="24"/>
        </w:rPr>
        <w:tab/>
        <w:t>Initial project meeting.  Access granted to the MedlinePlus Connect Wiki</w:t>
      </w:r>
      <w:r w:rsidR="002B2BC0">
        <w:rPr>
          <w:rFonts w:ascii="Times New Roman" w:eastAsia="ヒラギノ角ゴ Pro W3" w:hAnsi="Times New Roman" w:cs="Times New Roman"/>
          <w:sz w:val="24"/>
          <w:szCs w:val="24"/>
        </w:rPr>
        <w:t xml:space="preserve"> and screenshots sent from the Institute for Family Health’s My Chart (Epic)</w:t>
      </w:r>
      <w:r>
        <w:rPr>
          <w:rFonts w:ascii="Times New Roman" w:eastAsia="ヒラギノ角ゴ Pro W3" w:hAnsi="Times New Roman" w:cs="Times New Roman"/>
          <w:sz w:val="24"/>
          <w:szCs w:val="24"/>
        </w:rPr>
        <w:t>. Beg</w:t>
      </w:r>
      <w:r w:rsidR="0040490C">
        <w:rPr>
          <w:rFonts w:ascii="Times New Roman" w:eastAsia="ヒラギノ角ゴ Pro W3" w:hAnsi="Times New Roman" w:cs="Times New Roman"/>
          <w:sz w:val="24"/>
          <w:szCs w:val="24"/>
        </w:rPr>
        <w:t>a</w:t>
      </w:r>
      <w:r>
        <w:rPr>
          <w:rFonts w:ascii="Times New Roman" w:eastAsia="ヒラギノ角ゴ Pro W3" w:hAnsi="Times New Roman" w:cs="Times New Roman"/>
          <w:sz w:val="24"/>
          <w:szCs w:val="24"/>
        </w:rPr>
        <w:t xml:space="preserve">n determining spreadsheet fields. </w:t>
      </w:r>
    </w:p>
    <w:p w14:paraId="6F743298" w14:textId="77777777" w:rsidR="0004352C" w:rsidRDefault="0004352C" w:rsidP="00F1758F">
      <w:pPr>
        <w:spacing w:line="360" w:lineRule="auto"/>
        <w:ind w:left="1440" w:hanging="1440"/>
        <w:rPr>
          <w:rFonts w:ascii="Times New Roman" w:eastAsia="ヒラギノ角ゴ Pro W3" w:hAnsi="Times New Roman" w:cs="Times New Roman"/>
          <w:sz w:val="24"/>
          <w:szCs w:val="24"/>
        </w:rPr>
      </w:pPr>
    </w:p>
    <w:p w14:paraId="6F743299" w14:textId="77777777" w:rsidR="002B2BC0" w:rsidRDefault="002B2BC0" w:rsidP="00F1758F">
      <w:pPr>
        <w:spacing w:line="360" w:lineRule="auto"/>
        <w:ind w:left="1440" w:hanging="144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November 29: Black Book Rankings released by </w:t>
      </w:r>
      <w:proofErr w:type="spellStart"/>
      <w:r>
        <w:rPr>
          <w:rFonts w:ascii="Times New Roman" w:eastAsia="ヒラギノ角ゴ Pro W3" w:hAnsi="Times New Roman" w:cs="Times New Roman"/>
          <w:sz w:val="24"/>
          <w:szCs w:val="24"/>
        </w:rPr>
        <w:t>iHealthBeat</w:t>
      </w:r>
      <w:proofErr w:type="spellEnd"/>
      <w:r>
        <w:rPr>
          <w:rFonts w:ascii="Times New Roman" w:eastAsia="ヒラギノ角ゴ Pro W3" w:hAnsi="Times New Roman" w:cs="Times New Roman"/>
          <w:sz w:val="24"/>
          <w:szCs w:val="24"/>
        </w:rPr>
        <w:t xml:space="preserve">. </w:t>
      </w:r>
    </w:p>
    <w:p w14:paraId="6F74329A" w14:textId="77777777" w:rsidR="002B2BC0" w:rsidRDefault="002B2BC0" w:rsidP="00F1758F">
      <w:pPr>
        <w:spacing w:line="360" w:lineRule="auto"/>
        <w:ind w:left="1440" w:hanging="1440"/>
        <w:rPr>
          <w:rFonts w:ascii="Times New Roman" w:eastAsia="ヒラギノ角ゴ Pro W3" w:hAnsi="Times New Roman" w:cs="Times New Roman"/>
          <w:sz w:val="24"/>
          <w:szCs w:val="24"/>
        </w:rPr>
      </w:pPr>
    </w:p>
    <w:p w14:paraId="6F74329B" w14:textId="77777777" w:rsidR="002B2BC0" w:rsidRDefault="002B2BC0" w:rsidP="00F1758F">
      <w:pPr>
        <w:spacing w:line="360" w:lineRule="auto"/>
        <w:ind w:left="1440" w:hanging="1440"/>
        <w:rPr>
          <w:rFonts w:ascii="Times New Roman" w:eastAsia="ヒラギノ角ゴ Pro W3" w:hAnsi="Times New Roman" w:cs="Times New Roman"/>
          <w:b/>
          <w:sz w:val="24"/>
          <w:szCs w:val="24"/>
        </w:rPr>
      </w:pPr>
      <w:r>
        <w:rPr>
          <w:rFonts w:ascii="Times New Roman" w:eastAsia="ヒラギノ角ゴ Pro W3" w:hAnsi="Times New Roman" w:cs="Times New Roman"/>
          <w:b/>
          <w:sz w:val="24"/>
          <w:szCs w:val="24"/>
        </w:rPr>
        <w:t>December 2010</w:t>
      </w:r>
    </w:p>
    <w:p w14:paraId="6F74329C" w14:textId="77777777" w:rsidR="002B2BC0" w:rsidRPr="002B2BC0" w:rsidRDefault="002B2BC0" w:rsidP="00F1758F">
      <w:pPr>
        <w:spacing w:line="360" w:lineRule="auto"/>
        <w:ind w:left="1440" w:hanging="1440"/>
        <w:rPr>
          <w:rFonts w:ascii="Times New Roman" w:eastAsia="ヒラギノ角ゴ Pro W3" w:hAnsi="Times New Roman" w:cs="Times New Roman"/>
          <w:b/>
          <w:sz w:val="24"/>
          <w:szCs w:val="24"/>
        </w:rPr>
      </w:pPr>
    </w:p>
    <w:p w14:paraId="6F74329D" w14:textId="77777777" w:rsidR="0004352C" w:rsidRPr="0004352C" w:rsidRDefault="002B2BC0" w:rsidP="00F1758F">
      <w:pPr>
        <w:spacing w:line="360" w:lineRule="auto"/>
        <w:ind w:left="1440" w:hanging="144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December 2: </w:t>
      </w:r>
      <w:r>
        <w:rPr>
          <w:rFonts w:ascii="Times New Roman" w:eastAsia="ヒラギノ角ゴ Pro W3" w:hAnsi="Times New Roman" w:cs="Times New Roman"/>
          <w:sz w:val="24"/>
          <w:szCs w:val="24"/>
        </w:rPr>
        <w:tab/>
        <w:t>Second project meeting. Edit</w:t>
      </w:r>
      <w:r w:rsidR="0040490C">
        <w:rPr>
          <w:rFonts w:ascii="Times New Roman" w:eastAsia="ヒラギノ角ゴ Pro W3" w:hAnsi="Times New Roman" w:cs="Times New Roman"/>
          <w:sz w:val="24"/>
          <w:szCs w:val="24"/>
        </w:rPr>
        <w:t>ed</w:t>
      </w:r>
      <w:r>
        <w:rPr>
          <w:rFonts w:ascii="Times New Roman" w:eastAsia="ヒラギノ角ゴ Pro W3" w:hAnsi="Times New Roman" w:cs="Times New Roman"/>
          <w:sz w:val="24"/>
          <w:szCs w:val="24"/>
        </w:rPr>
        <w:t xml:space="preserve"> spreadsheet fields and continue</w:t>
      </w:r>
      <w:r w:rsidR="0040490C">
        <w:rPr>
          <w:rFonts w:ascii="Times New Roman" w:eastAsia="ヒラギノ角ゴ Pro W3" w:hAnsi="Times New Roman" w:cs="Times New Roman"/>
          <w:sz w:val="24"/>
          <w:szCs w:val="24"/>
        </w:rPr>
        <w:t>d</w:t>
      </w:r>
      <w:r>
        <w:rPr>
          <w:rFonts w:ascii="Times New Roman" w:eastAsia="ヒラギノ角ゴ Pro W3" w:hAnsi="Times New Roman" w:cs="Times New Roman"/>
          <w:sz w:val="24"/>
          <w:szCs w:val="24"/>
        </w:rPr>
        <w:t xml:space="preserve"> researching EHR vendors and patient-specific education resources. </w:t>
      </w:r>
    </w:p>
    <w:p w14:paraId="6F74329E" w14:textId="77777777" w:rsidR="006C4175" w:rsidRDefault="006C4175" w:rsidP="00F1758F">
      <w:pPr>
        <w:spacing w:line="360" w:lineRule="auto"/>
        <w:rPr>
          <w:rFonts w:ascii="Times New Roman" w:eastAsia="ヒラギノ角ゴ Pro W3" w:hAnsi="Times New Roman" w:cs="Times New Roman"/>
          <w:b/>
          <w:sz w:val="24"/>
          <w:szCs w:val="24"/>
        </w:rPr>
      </w:pPr>
    </w:p>
    <w:p w14:paraId="6F74329F" w14:textId="77777777" w:rsidR="002B2BC0" w:rsidRDefault="002B2BC0" w:rsidP="00F1758F">
      <w:pPr>
        <w:spacing w:line="360" w:lineRule="auto"/>
        <w:rPr>
          <w:rFonts w:ascii="Times New Roman" w:eastAsia="ヒラギノ角ゴ Pro W3" w:hAnsi="Times New Roman" w:cs="Times New Roman"/>
          <w:sz w:val="24"/>
          <w:szCs w:val="24"/>
        </w:rPr>
      </w:pPr>
      <w:r w:rsidRPr="002B2BC0">
        <w:rPr>
          <w:rFonts w:ascii="Times New Roman" w:eastAsia="ヒラギノ角ゴ Pro W3" w:hAnsi="Times New Roman" w:cs="Times New Roman"/>
          <w:sz w:val="24"/>
          <w:szCs w:val="24"/>
        </w:rPr>
        <w:t>December</w:t>
      </w:r>
      <w:r>
        <w:rPr>
          <w:rFonts w:ascii="Times New Roman" w:eastAsia="ヒラギノ角ゴ Pro W3" w:hAnsi="Times New Roman" w:cs="Times New Roman"/>
          <w:sz w:val="24"/>
          <w:szCs w:val="24"/>
        </w:rPr>
        <w:t xml:space="preserve"> 17: </w:t>
      </w:r>
      <w:r>
        <w:rPr>
          <w:rFonts w:ascii="Times New Roman" w:eastAsia="ヒラギノ角ゴ Pro W3" w:hAnsi="Times New Roman" w:cs="Times New Roman"/>
          <w:sz w:val="24"/>
          <w:szCs w:val="24"/>
        </w:rPr>
        <w:tab/>
        <w:t xml:space="preserve">Third project check-in meeting. Confirmed progress and discussed ONC changed. </w:t>
      </w:r>
    </w:p>
    <w:p w14:paraId="6F7432A0" w14:textId="77777777" w:rsidR="002B2BC0" w:rsidRDefault="002B2BC0" w:rsidP="00F1758F">
      <w:pPr>
        <w:spacing w:line="360" w:lineRule="auto"/>
        <w:rPr>
          <w:rFonts w:ascii="Times New Roman" w:eastAsia="ヒラギノ角ゴ Pro W3" w:hAnsi="Times New Roman" w:cs="Times New Roman"/>
          <w:sz w:val="24"/>
          <w:szCs w:val="24"/>
        </w:rPr>
      </w:pPr>
    </w:p>
    <w:p w14:paraId="6F7432A1" w14:textId="77777777" w:rsidR="002B2BC0" w:rsidRDefault="002B2BC0" w:rsidP="00F1758F">
      <w:pPr>
        <w:spacing w:line="360" w:lineRule="auto"/>
        <w:ind w:left="1440" w:hanging="144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December 27: </w:t>
      </w:r>
      <w:r>
        <w:rPr>
          <w:rFonts w:ascii="Times New Roman" w:eastAsia="ヒラギノ角ゴ Pro W3" w:hAnsi="Times New Roman" w:cs="Times New Roman"/>
          <w:sz w:val="24"/>
          <w:szCs w:val="24"/>
        </w:rPr>
        <w:tab/>
        <w:t xml:space="preserve">Stephanie Dennis sent spreadsheet review. New ONC CHPL searching functionality revealed. </w:t>
      </w:r>
    </w:p>
    <w:p w14:paraId="6F7432A2" w14:textId="77777777" w:rsidR="002B2BC0" w:rsidRDefault="002B2BC0" w:rsidP="00F1758F">
      <w:pPr>
        <w:spacing w:line="360" w:lineRule="auto"/>
        <w:rPr>
          <w:rFonts w:ascii="Times New Roman" w:eastAsia="ヒラギノ角ゴ Pro W3" w:hAnsi="Times New Roman" w:cs="Times New Roman"/>
          <w:sz w:val="24"/>
          <w:szCs w:val="24"/>
        </w:rPr>
      </w:pPr>
    </w:p>
    <w:p w14:paraId="6F7432A3" w14:textId="77777777" w:rsidR="003C4397" w:rsidRDefault="002B2BC0" w:rsidP="00F1758F">
      <w:pPr>
        <w:spacing w:line="360" w:lineRule="auto"/>
        <w:rPr>
          <w:rFonts w:ascii="Times New Roman" w:eastAsia="ヒラギノ角ゴ Pro W3" w:hAnsi="Times New Roman" w:cs="Times New Roman"/>
          <w:b/>
          <w:sz w:val="24"/>
          <w:szCs w:val="24"/>
        </w:rPr>
      </w:pPr>
      <w:r>
        <w:rPr>
          <w:rFonts w:ascii="Times New Roman" w:eastAsia="ヒラギノ角ゴ Pro W3" w:hAnsi="Times New Roman" w:cs="Times New Roman"/>
          <w:b/>
          <w:sz w:val="24"/>
          <w:szCs w:val="24"/>
        </w:rPr>
        <w:t>January 2011</w:t>
      </w:r>
    </w:p>
    <w:p w14:paraId="6F7432A4" w14:textId="77777777" w:rsidR="003C4397" w:rsidRDefault="003C4397" w:rsidP="00F1758F">
      <w:pPr>
        <w:spacing w:line="360" w:lineRule="auto"/>
        <w:rPr>
          <w:rFonts w:ascii="Times New Roman" w:eastAsia="ヒラギノ角ゴ Pro W3" w:hAnsi="Times New Roman" w:cs="Times New Roman"/>
          <w:b/>
          <w:sz w:val="24"/>
          <w:szCs w:val="24"/>
        </w:rPr>
      </w:pPr>
    </w:p>
    <w:p w14:paraId="6F7432A5" w14:textId="77777777" w:rsidR="003C4397" w:rsidRDefault="003C4397" w:rsidP="00F1758F">
      <w:pPr>
        <w:spacing w:line="360" w:lineRule="auto"/>
        <w:rPr>
          <w:rFonts w:ascii="Times New Roman" w:eastAsia="ヒラギノ角ゴ Pro W3" w:hAnsi="Times New Roman" w:cs="Times New Roman"/>
          <w:sz w:val="24"/>
          <w:szCs w:val="24"/>
        </w:rPr>
      </w:pPr>
      <w:r w:rsidRPr="003C4397">
        <w:rPr>
          <w:rFonts w:ascii="Times New Roman" w:eastAsia="ヒラギノ角ゴ Pro W3" w:hAnsi="Times New Roman" w:cs="Times New Roman"/>
          <w:sz w:val="24"/>
          <w:szCs w:val="24"/>
        </w:rPr>
        <w:t>January 4:</w:t>
      </w:r>
      <w:r w:rsidRPr="003C4397">
        <w:rPr>
          <w:rFonts w:ascii="Times New Roman" w:eastAsia="ヒラギノ角ゴ Pro W3" w:hAnsi="Times New Roman" w:cs="Times New Roman"/>
          <w:sz w:val="24"/>
          <w:szCs w:val="24"/>
        </w:rPr>
        <w:tab/>
        <w:t>Final project meeting. Discuss</w:t>
      </w:r>
      <w:r w:rsidR="0040490C">
        <w:rPr>
          <w:rFonts w:ascii="Times New Roman" w:eastAsia="ヒラギノ角ゴ Pro W3" w:hAnsi="Times New Roman" w:cs="Times New Roman"/>
          <w:sz w:val="24"/>
          <w:szCs w:val="24"/>
        </w:rPr>
        <w:t>ed</w:t>
      </w:r>
      <w:r w:rsidRPr="003C4397">
        <w:rPr>
          <w:rFonts w:ascii="Times New Roman" w:eastAsia="ヒラギノ角ゴ Pro W3" w:hAnsi="Times New Roman" w:cs="Times New Roman"/>
          <w:sz w:val="24"/>
          <w:szCs w:val="24"/>
        </w:rPr>
        <w:t xml:space="preserve"> patient-specific education vendors. </w:t>
      </w:r>
    </w:p>
    <w:p w14:paraId="6F7432A6" w14:textId="77777777" w:rsidR="003C4397" w:rsidRDefault="003C4397" w:rsidP="00F1758F">
      <w:pPr>
        <w:spacing w:line="360" w:lineRule="auto"/>
        <w:rPr>
          <w:rFonts w:ascii="Times New Roman" w:eastAsia="ヒラギノ角ゴ Pro W3" w:hAnsi="Times New Roman" w:cs="Times New Roman"/>
          <w:sz w:val="24"/>
          <w:szCs w:val="24"/>
        </w:rPr>
      </w:pPr>
    </w:p>
    <w:p w14:paraId="6F7432A7" w14:textId="77777777" w:rsidR="003C4397" w:rsidRDefault="003C4397" w:rsidP="00F1758F">
      <w:pPr>
        <w:spacing w:line="36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January 12: </w:t>
      </w:r>
      <w:r>
        <w:rPr>
          <w:rFonts w:ascii="Times New Roman" w:eastAsia="ヒラギノ角ゴ Pro W3" w:hAnsi="Times New Roman" w:cs="Times New Roman"/>
          <w:sz w:val="24"/>
          <w:szCs w:val="24"/>
        </w:rPr>
        <w:tab/>
        <w:t>Project report draft sent to team leaders</w:t>
      </w:r>
    </w:p>
    <w:p w14:paraId="6F7432A8" w14:textId="77777777" w:rsidR="003C4397" w:rsidRDefault="003C4397" w:rsidP="00F1758F">
      <w:pPr>
        <w:spacing w:line="360" w:lineRule="auto"/>
        <w:rPr>
          <w:rFonts w:ascii="Times New Roman" w:eastAsia="ヒラギノ角ゴ Pro W3" w:hAnsi="Times New Roman" w:cs="Times New Roman"/>
          <w:sz w:val="24"/>
          <w:szCs w:val="24"/>
        </w:rPr>
      </w:pPr>
    </w:p>
    <w:p w14:paraId="6F7432A9" w14:textId="77777777" w:rsidR="003C4397" w:rsidRDefault="003C4397" w:rsidP="00F1758F">
      <w:pPr>
        <w:spacing w:line="36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January 20:</w:t>
      </w:r>
      <w:r>
        <w:rPr>
          <w:rFonts w:ascii="Times New Roman" w:eastAsia="ヒラギノ角ゴ Pro W3" w:hAnsi="Times New Roman" w:cs="Times New Roman"/>
          <w:sz w:val="24"/>
          <w:szCs w:val="24"/>
        </w:rPr>
        <w:tab/>
      </w:r>
      <w:r w:rsidR="002F6218">
        <w:rPr>
          <w:rFonts w:ascii="Times New Roman" w:eastAsia="ヒラギノ角ゴ Pro W3" w:hAnsi="Times New Roman" w:cs="Times New Roman"/>
          <w:sz w:val="24"/>
          <w:szCs w:val="24"/>
        </w:rPr>
        <w:t xml:space="preserve">Draft report revisions and edits returned. </w:t>
      </w:r>
    </w:p>
    <w:p w14:paraId="6F7432AA" w14:textId="77777777" w:rsidR="002F6218" w:rsidRDefault="002F6218" w:rsidP="00F1758F">
      <w:pPr>
        <w:spacing w:line="360" w:lineRule="auto"/>
        <w:rPr>
          <w:rFonts w:ascii="Times New Roman" w:eastAsia="ヒラギノ角ゴ Pro W3" w:hAnsi="Times New Roman" w:cs="Times New Roman"/>
          <w:sz w:val="24"/>
          <w:szCs w:val="24"/>
        </w:rPr>
      </w:pPr>
    </w:p>
    <w:p w14:paraId="6F7432AB" w14:textId="77777777" w:rsidR="003C4397" w:rsidRPr="003C4397" w:rsidRDefault="003C4397" w:rsidP="00F1758F">
      <w:pPr>
        <w:spacing w:line="360" w:lineRule="auto"/>
        <w:rPr>
          <w:rFonts w:ascii="Times New Roman" w:eastAsia="ヒラギノ角ゴ Pro W3" w:hAnsi="Times New Roman" w:cs="Times New Roman"/>
          <w:b/>
          <w:sz w:val="24"/>
          <w:szCs w:val="24"/>
        </w:rPr>
      </w:pPr>
      <w:r w:rsidRPr="003C4397">
        <w:rPr>
          <w:rFonts w:ascii="Times New Roman" w:eastAsia="ヒラギノ角ゴ Pro W3" w:hAnsi="Times New Roman" w:cs="Times New Roman"/>
          <w:b/>
          <w:sz w:val="24"/>
          <w:szCs w:val="24"/>
        </w:rPr>
        <w:t>February 2011</w:t>
      </w:r>
    </w:p>
    <w:p w14:paraId="6F7432AC" w14:textId="77777777" w:rsidR="003C4397" w:rsidRDefault="003C4397" w:rsidP="00F1758F">
      <w:pPr>
        <w:spacing w:line="360" w:lineRule="auto"/>
        <w:rPr>
          <w:rFonts w:ascii="Times New Roman" w:eastAsia="ヒラギノ角ゴ Pro W3" w:hAnsi="Times New Roman" w:cs="Times New Roman"/>
          <w:sz w:val="24"/>
          <w:szCs w:val="24"/>
        </w:rPr>
      </w:pPr>
    </w:p>
    <w:p w14:paraId="6F7432AD" w14:textId="77777777" w:rsidR="004546DD" w:rsidRPr="003C4397" w:rsidRDefault="003C4397" w:rsidP="00F1758F">
      <w:pPr>
        <w:spacing w:line="36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February 4: </w:t>
      </w:r>
      <w:r>
        <w:rPr>
          <w:rFonts w:ascii="Times New Roman" w:eastAsia="ヒラギノ角ゴ Pro W3" w:hAnsi="Times New Roman" w:cs="Times New Roman"/>
          <w:sz w:val="24"/>
          <w:szCs w:val="24"/>
        </w:rPr>
        <w:tab/>
        <w:t xml:space="preserve">Final project report submitted. </w:t>
      </w:r>
      <w:r w:rsidR="004546DD" w:rsidRPr="003C4397">
        <w:rPr>
          <w:rFonts w:ascii="Times New Roman" w:eastAsia="ヒラギノ角ゴ Pro W3" w:hAnsi="Times New Roman" w:cs="Times New Roman"/>
          <w:sz w:val="24"/>
          <w:szCs w:val="24"/>
        </w:rPr>
        <w:br w:type="page"/>
      </w:r>
    </w:p>
    <w:p w14:paraId="6F7432AE" w14:textId="77777777" w:rsidR="00E20387" w:rsidRPr="002B7283" w:rsidRDefault="00E20387" w:rsidP="002B7283">
      <w:pPr>
        <w:pStyle w:val="Heading2"/>
        <w:rPr>
          <w:rFonts w:ascii="Times New Roman" w:hAnsi="Times New Roman" w:cs="Times New Roman"/>
          <w:color w:val="auto"/>
          <w:sz w:val="24"/>
          <w:szCs w:val="24"/>
        </w:rPr>
      </w:pPr>
      <w:bookmarkStart w:id="36" w:name="_Toc284948724"/>
      <w:r w:rsidRPr="002B7283">
        <w:rPr>
          <w:rFonts w:ascii="Times New Roman" w:hAnsi="Times New Roman" w:cs="Times New Roman"/>
          <w:color w:val="auto"/>
          <w:sz w:val="24"/>
          <w:szCs w:val="24"/>
        </w:rPr>
        <w:lastRenderedPageBreak/>
        <w:t xml:space="preserve">Appendix </w:t>
      </w:r>
      <w:r w:rsidR="006C4175" w:rsidRPr="002B7283">
        <w:rPr>
          <w:rFonts w:ascii="Times New Roman" w:hAnsi="Times New Roman" w:cs="Times New Roman"/>
          <w:color w:val="auto"/>
          <w:sz w:val="24"/>
          <w:szCs w:val="24"/>
        </w:rPr>
        <w:t>C</w:t>
      </w:r>
      <w:r w:rsidRPr="002B7283">
        <w:rPr>
          <w:rFonts w:ascii="Times New Roman" w:hAnsi="Times New Roman" w:cs="Times New Roman"/>
          <w:color w:val="auto"/>
          <w:sz w:val="24"/>
          <w:szCs w:val="24"/>
        </w:rPr>
        <w:t>: Fields and Definitions for EHR Spreadsheet</w:t>
      </w:r>
      <w:bookmarkEnd w:id="36"/>
    </w:p>
    <w:p w14:paraId="6F7432AF" w14:textId="77777777" w:rsidR="00E20387" w:rsidRDefault="00E20387" w:rsidP="00F1758F">
      <w:pPr>
        <w:spacing w:line="360" w:lineRule="auto"/>
      </w:pPr>
    </w:p>
    <w:tbl>
      <w:tblPr>
        <w:tblW w:w="9350" w:type="dxa"/>
        <w:tblInd w:w="108" w:type="dxa"/>
        <w:shd w:val="clear" w:color="auto" w:fill="FFFFFF"/>
        <w:tblLayout w:type="fixed"/>
        <w:tblLook w:val="0000" w:firstRow="0" w:lastRow="0" w:firstColumn="0" w:lastColumn="0" w:noHBand="0" w:noVBand="0"/>
      </w:tblPr>
      <w:tblGrid>
        <w:gridCol w:w="2417"/>
        <w:gridCol w:w="6933"/>
      </w:tblGrid>
      <w:tr w:rsidR="00E20387" w14:paraId="6F7432B2"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0" w14:textId="77777777" w:rsidR="00E20387" w:rsidRPr="00F772FC" w:rsidRDefault="00E20387" w:rsidP="00F1758F">
            <w:pPr>
              <w:spacing w:line="360" w:lineRule="auto"/>
              <w:jc w:val="center"/>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Field</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1" w14:textId="77777777" w:rsidR="00E20387" w:rsidRPr="00F772FC" w:rsidRDefault="00E20387" w:rsidP="00F1758F">
            <w:pPr>
              <w:spacing w:line="360" w:lineRule="auto"/>
              <w:jc w:val="center"/>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Definition/Explanation</w:t>
            </w:r>
          </w:p>
        </w:tc>
      </w:tr>
      <w:tr w:rsidR="00E20387" w14:paraId="6F7432B5"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3"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Vendor</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4"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Parent company that created the product.</w:t>
            </w:r>
          </w:p>
        </w:tc>
      </w:tr>
      <w:tr w:rsidR="00E20387" w14:paraId="6F7432B8"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6"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Product</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7"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Certified E</w:t>
            </w:r>
            <w:r w:rsidR="0040490C">
              <w:rPr>
                <w:rFonts w:ascii="Arial" w:eastAsia="ヒラギノ角ゴ Pro W3" w:hAnsi="Arial" w:cs="Arial"/>
                <w:color w:val="000000"/>
                <w:sz w:val="16"/>
                <w:szCs w:val="16"/>
              </w:rPr>
              <w:t>H</w:t>
            </w:r>
            <w:r w:rsidRPr="00F772FC">
              <w:rPr>
                <w:rFonts w:ascii="Arial" w:eastAsia="ヒラギノ角ゴ Pro W3" w:hAnsi="Arial" w:cs="Arial"/>
                <w:color w:val="000000"/>
                <w:sz w:val="16"/>
                <w:szCs w:val="16"/>
              </w:rPr>
              <w:t>R product or module.</w:t>
            </w:r>
          </w:p>
        </w:tc>
      </w:tr>
      <w:tr w:rsidR="00E20387" w14:paraId="6F7432BB"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9"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Product Version</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A"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Product version certified by the ONC ATCB on November 12, 2010.</w:t>
            </w:r>
          </w:p>
        </w:tc>
      </w:tr>
      <w:tr w:rsidR="00E20387" w14:paraId="6F7432BE" w14:textId="77777777" w:rsidTr="00831D3C">
        <w:trPr>
          <w:cantSplit/>
          <w:trHeight w:val="44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C"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ONC Product Classification</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D"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Classification number assigned by ONC for each certified product.</w:t>
            </w:r>
          </w:p>
        </w:tc>
      </w:tr>
      <w:tr w:rsidR="00E20387" w14:paraId="6F7432C1"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BF"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ONC Practice Setting</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0"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Type of practice setting specified by ONC for product use.</w:t>
            </w:r>
          </w:p>
        </w:tc>
      </w:tr>
      <w:tr w:rsidR="00E20387" w14:paraId="6F7432C4" w14:textId="77777777" w:rsidTr="00831D3C">
        <w:trPr>
          <w:cantSplit/>
          <w:trHeight w:val="50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2"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170.302(m)</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3"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Does the product meet certification criteria requirements for 170.302(m): patient-specific education resources?</w:t>
            </w:r>
          </w:p>
        </w:tc>
      </w:tr>
      <w:tr w:rsidR="00E20387" w14:paraId="6F7432C7" w14:textId="77777777" w:rsidTr="00831D3C">
        <w:trPr>
          <w:cantSplit/>
          <w:trHeight w:val="50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5"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Black Book Rank Freq.</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6"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Number of times a vendor was listed within Black Book Rankings top EMR Vendors for 2011</w:t>
            </w:r>
          </w:p>
        </w:tc>
      </w:tr>
      <w:tr w:rsidR="00E20387" w14:paraId="6F7432CA" w14:textId="77777777" w:rsidTr="00831D3C">
        <w:trPr>
          <w:cantSplit/>
          <w:trHeight w:val="75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8"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Market List Categories:</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9"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Categories based on Black Book Rankings of EMR Software Vendors (http://www.healthcareitnews.com/news/black-book-rankings-names-top-emr-vendors-2011?page=0,0)</w:t>
            </w:r>
          </w:p>
        </w:tc>
      </w:tr>
      <w:tr w:rsidR="00E20387" w14:paraId="6F7432CD"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B"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C"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Ambulatory EMR Software Vendors: 1 - 5 Physician Practice</w:t>
            </w:r>
          </w:p>
        </w:tc>
      </w:tr>
      <w:tr w:rsidR="00E20387" w14:paraId="6F7432D0"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E"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B</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CF"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Ambulatory EMR Software Vendors: 6 - 25 Physician Practice</w:t>
            </w:r>
          </w:p>
        </w:tc>
      </w:tr>
      <w:tr w:rsidR="00E20387" w14:paraId="6F7432D3"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1"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C</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2"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Ambulatory EMR Software Vendors: 26 - 99 Physician Practice</w:t>
            </w:r>
          </w:p>
        </w:tc>
      </w:tr>
      <w:tr w:rsidR="00E20387" w14:paraId="6F7432D6"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4"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D</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5"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Ambulatory EMR Software Vendors: 100 - 249 Physician Practice</w:t>
            </w:r>
          </w:p>
        </w:tc>
      </w:tr>
      <w:tr w:rsidR="00E20387" w14:paraId="6F7432D9"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7"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E</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8"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Ambulatory EMR Software Vendors: 250+ Physician Practice</w:t>
            </w:r>
          </w:p>
        </w:tc>
      </w:tr>
      <w:tr w:rsidR="00E20387" w14:paraId="6F7432DC"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A"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F</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B"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Acute Care EMR Softw</w:t>
            </w:r>
            <w:r w:rsidR="006C052A">
              <w:rPr>
                <w:rFonts w:ascii="Arial" w:eastAsia="ヒラギノ角ゴ Pro W3" w:hAnsi="Arial" w:cs="Arial"/>
                <w:color w:val="000000"/>
                <w:sz w:val="16"/>
                <w:szCs w:val="16"/>
              </w:rPr>
              <w:t>a</w:t>
            </w:r>
            <w:r w:rsidRPr="00F772FC">
              <w:rPr>
                <w:rFonts w:ascii="Arial" w:eastAsia="ヒラギノ角ゴ Pro W3" w:hAnsi="Arial" w:cs="Arial"/>
                <w:color w:val="000000"/>
                <w:sz w:val="16"/>
                <w:szCs w:val="16"/>
              </w:rPr>
              <w:t>re Vendors: Small Hospitals (&lt;100 beds)</w:t>
            </w:r>
          </w:p>
        </w:tc>
      </w:tr>
      <w:tr w:rsidR="00E20387" w14:paraId="6F7432DF"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D"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G</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DE"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Acute Care EMR Softw</w:t>
            </w:r>
            <w:r w:rsidR="006C052A">
              <w:rPr>
                <w:rFonts w:ascii="Arial" w:eastAsia="ヒラギノ角ゴ Pro W3" w:hAnsi="Arial" w:cs="Arial"/>
                <w:color w:val="000000"/>
                <w:sz w:val="16"/>
                <w:szCs w:val="16"/>
              </w:rPr>
              <w:t>a</w:t>
            </w:r>
            <w:r w:rsidRPr="00F772FC">
              <w:rPr>
                <w:rFonts w:ascii="Arial" w:eastAsia="ヒラギノ角ゴ Pro W3" w:hAnsi="Arial" w:cs="Arial"/>
                <w:color w:val="000000"/>
                <w:sz w:val="16"/>
                <w:szCs w:val="16"/>
              </w:rPr>
              <w:t>re Vendors: Community Hospitals (101 - 250 beds)</w:t>
            </w:r>
          </w:p>
        </w:tc>
      </w:tr>
      <w:tr w:rsidR="00E20387" w14:paraId="6F7432E2" w14:textId="77777777" w:rsidTr="00831D3C">
        <w:trPr>
          <w:cantSplit/>
          <w:trHeight w:val="44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0"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H</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1"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Acute Care EMR Softw</w:t>
            </w:r>
            <w:r w:rsidR="006C052A">
              <w:rPr>
                <w:rFonts w:ascii="Arial" w:eastAsia="ヒラギノ角ゴ Pro W3" w:hAnsi="Arial" w:cs="Arial"/>
                <w:color w:val="000000"/>
                <w:sz w:val="16"/>
                <w:szCs w:val="16"/>
              </w:rPr>
              <w:t>a</w:t>
            </w:r>
            <w:r w:rsidRPr="00F772FC">
              <w:rPr>
                <w:rFonts w:ascii="Arial" w:eastAsia="ヒラギノ角ゴ Pro W3" w:hAnsi="Arial" w:cs="Arial"/>
                <w:color w:val="000000"/>
                <w:sz w:val="16"/>
                <w:szCs w:val="16"/>
              </w:rPr>
              <w:t>re Vendors: Large Medical Centers/Hospitals (250+ beds)</w:t>
            </w:r>
          </w:p>
        </w:tc>
      </w:tr>
      <w:tr w:rsidR="00E20387" w14:paraId="6F7432E5"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3" w14:textId="77777777" w:rsidR="00E20387" w:rsidRPr="00F772FC" w:rsidRDefault="00E20387" w:rsidP="00F1758F">
            <w:pPr>
              <w:spacing w:line="360" w:lineRule="auto"/>
              <w:ind w:firstLine="400"/>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I</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4"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Emergency Department EMR Software Vendors</w:t>
            </w:r>
          </w:p>
        </w:tc>
      </w:tr>
      <w:tr w:rsidR="00E20387" w14:paraId="6F7432E8"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6"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Product URL</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7"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Link to main product page.</w:t>
            </w:r>
          </w:p>
        </w:tc>
      </w:tr>
      <w:tr w:rsidR="00E20387" w14:paraId="6F7432EB"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9"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Demo URL</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A"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Link to demo page, if available.</w:t>
            </w:r>
          </w:p>
        </w:tc>
      </w:tr>
      <w:tr w:rsidR="00E20387" w14:paraId="6F7432EE" w14:textId="77777777" w:rsidTr="00831D3C">
        <w:trPr>
          <w:cantSplit/>
          <w:trHeight w:val="44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C"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Patient Education Info Source URL</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D"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Link to information about patient education source</w:t>
            </w:r>
          </w:p>
        </w:tc>
      </w:tr>
      <w:tr w:rsidR="00E20387" w14:paraId="6F7432F1" w14:textId="77777777" w:rsidTr="00831D3C">
        <w:trPr>
          <w:cantSplit/>
          <w:trHeight w:val="44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EF"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Patient Education Info Source</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0" w14:textId="77777777" w:rsidR="00E20387" w:rsidRPr="00F772FC" w:rsidRDefault="0040490C" w:rsidP="0040490C">
            <w:pPr>
              <w:spacing w:line="360" w:lineRule="auto"/>
              <w:rPr>
                <w:rFonts w:ascii="Arial" w:eastAsia="ヒラギノ角ゴ Pro W3" w:hAnsi="Arial" w:cs="Arial"/>
                <w:color w:val="000000"/>
                <w:sz w:val="16"/>
                <w:szCs w:val="16"/>
              </w:rPr>
            </w:pPr>
            <w:r>
              <w:rPr>
                <w:rFonts w:ascii="Arial" w:eastAsia="ヒラギノ角ゴ Pro W3" w:hAnsi="Arial" w:cs="Arial"/>
                <w:color w:val="000000"/>
                <w:sz w:val="16"/>
                <w:szCs w:val="16"/>
              </w:rPr>
              <w:t>Source</w:t>
            </w:r>
            <w:r w:rsidR="00E20387" w:rsidRPr="00F772FC">
              <w:rPr>
                <w:rFonts w:ascii="Arial" w:eastAsia="ヒラギノ角ゴ Pro W3" w:hAnsi="Arial" w:cs="Arial"/>
                <w:color w:val="000000"/>
                <w:sz w:val="16"/>
                <w:szCs w:val="16"/>
              </w:rPr>
              <w:t xml:space="preserve"> used within the EHR for patient education</w:t>
            </w:r>
          </w:p>
        </w:tc>
      </w:tr>
      <w:tr w:rsidR="00E20387" w14:paraId="6F7432F4" w14:textId="77777777" w:rsidTr="00831D3C">
        <w:trPr>
          <w:cantSplit/>
          <w:trHeight w:val="50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2"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Coverage</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3"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Type of coverage provided by patient education source. Examples include: diagnoses, lab tests, drugs, etc.</w:t>
            </w:r>
          </w:p>
        </w:tc>
      </w:tr>
      <w:tr w:rsidR="00E20387" w14:paraId="6F7432F7" w14:textId="77777777" w:rsidTr="00831D3C">
        <w:trPr>
          <w:cantSplit/>
          <w:trHeight w:val="50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5"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Certified or vendor wide</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6" w14:textId="77777777" w:rsidR="00E20387" w:rsidRPr="00F772FC" w:rsidRDefault="00E20387"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Is the patient education source used only in the vendor's certified product or is it used in multiple vendor products and not specified for the certified product?</w:t>
            </w:r>
          </w:p>
        </w:tc>
      </w:tr>
      <w:tr w:rsidR="00831D3C" w14:paraId="6F7432FA" w14:textId="77777777" w:rsidTr="00831D3C">
        <w:trPr>
          <w:cantSplit/>
          <w:trHeight w:val="50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8" w14:textId="77777777" w:rsidR="00831D3C" w:rsidRPr="006B5495" w:rsidRDefault="00831D3C" w:rsidP="00F1758F">
            <w:pPr>
              <w:spacing w:line="360" w:lineRule="auto"/>
              <w:rPr>
                <w:rFonts w:ascii="Arial" w:eastAsia="ヒラギノ角ゴ Pro W3" w:hAnsi="Arial" w:cs="Arial"/>
                <w:color w:val="000000"/>
                <w:sz w:val="16"/>
                <w:szCs w:val="16"/>
              </w:rPr>
            </w:pPr>
            <w:r w:rsidRPr="006B5495">
              <w:rPr>
                <w:rFonts w:ascii="Arial" w:eastAsia="ヒラギノ角ゴ Pro W3" w:hAnsi="Arial" w:cs="Arial"/>
                <w:color w:val="000000"/>
                <w:sz w:val="16"/>
                <w:szCs w:val="16"/>
              </w:rPr>
              <w:t>Direct Patient Access</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9" w14:textId="77777777" w:rsidR="00831D3C" w:rsidRPr="006B5495" w:rsidRDefault="00831D3C" w:rsidP="00F1758F">
            <w:pPr>
              <w:spacing w:line="360" w:lineRule="auto"/>
              <w:rPr>
                <w:rFonts w:ascii="Arial" w:eastAsia="ヒラギノ角ゴ Pro W3" w:hAnsi="Arial" w:cs="Arial"/>
                <w:color w:val="000000"/>
                <w:sz w:val="16"/>
                <w:szCs w:val="16"/>
              </w:rPr>
            </w:pPr>
            <w:r w:rsidRPr="006B5495">
              <w:rPr>
                <w:rFonts w:ascii="Arial" w:eastAsia="ヒラギノ角ゴ Pro W3" w:hAnsi="Arial" w:cs="Arial"/>
                <w:color w:val="000000"/>
                <w:sz w:val="16"/>
                <w:szCs w:val="16"/>
              </w:rPr>
              <w:t>Intermediary, Patient Portal, Both</w:t>
            </w:r>
          </w:p>
        </w:tc>
      </w:tr>
      <w:tr w:rsidR="00831D3C" w14:paraId="6F7432FD" w14:textId="77777777" w:rsidTr="00831D3C">
        <w:trPr>
          <w:cantSplit/>
          <w:trHeight w:val="50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B" w14:textId="77777777" w:rsidR="00831D3C" w:rsidRPr="00F772FC" w:rsidRDefault="00831D3C"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Certifying ATCB</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C" w14:textId="77777777" w:rsidR="00831D3C" w:rsidRPr="00F772FC" w:rsidRDefault="00831D3C"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The ONC Authorized Testing and Certification Body (ATCB) responsible for inspecting and certifying the product.</w:t>
            </w:r>
          </w:p>
        </w:tc>
      </w:tr>
      <w:tr w:rsidR="00831D3C" w14:paraId="6F743300"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E" w14:textId="77777777" w:rsidR="00831D3C" w:rsidRPr="00F772FC" w:rsidRDefault="00831D3C"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ONC Certification #</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2FF" w14:textId="77777777" w:rsidR="00831D3C" w:rsidRPr="00F772FC" w:rsidRDefault="00831D3C"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Certification number assigned by ONC.</w:t>
            </w:r>
          </w:p>
        </w:tc>
      </w:tr>
      <w:tr w:rsidR="00831D3C" w14:paraId="6F743303" w14:textId="77777777" w:rsidTr="00831D3C">
        <w:trPr>
          <w:cantSplit/>
          <w:trHeight w:val="500"/>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01" w14:textId="77777777" w:rsidR="00831D3C" w:rsidRPr="00F772FC" w:rsidRDefault="00831D3C" w:rsidP="00F1758F">
            <w:pPr>
              <w:spacing w:line="360" w:lineRule="auto"/>
              <w:rPr>
                <w:rFonts w:ascii="Arial" w:eastAsia="ヒラギノ角ゴ Pro W3" w:hAnsi="Arial" w:cs="Arial"/>
                <w:color w:val="000000"/>
                <w:sz w:val="16"/>
                <w:szCs w:val="16"/>
              </w:rPr>
            </w:pPr>
            <w:r>
              <w:rPr>
                <w:rFonts w:ascii="Arial" w:eastAsia="ヒラギノ角ゴ Pro W3" w:hAnsi="Arial" w:cs="Arial"/>
                <w:color w:val="000000"/>
                <w:sz w:val="16"/>
                <w:szCs w:val="16"/>
              </w:rPr>
              <w:t>Date Accessed from ONC</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02" w14:textId="77777777" w:rsidR="00831D3C" w:rsidRPr="00F772FC" w:rsidRDefault="00831D3C" w:rsidP="00F1758F">
            <w:pPr>
              <w:spacing w:line="360" w:lineRule="auto"/>
              <w:rPr>
                <w:rFonts w:ascii="Arial" w:eastAsia="ヒラギノ角ゴ Pro W3" w:hAnsi="Arial" w:cs="Arial"/>
                <w:color w:val="000000"/>
                <w:sz w:val="16"/>
                <w:szCs w:val="16"/>
              </w:rPr>
            </w:pPr>
            <w:r>
              <w:rPr>
                <w:rFonts w:ascii="Arial" w:eastAsia="ヒラギノ角ゴ Pro W3" w:hAnsi="Arial" w:cs="Arial"/>
                <w:color w:val="000000"/>
                <w:sz w:val="16"/>
                <w:szCs w:val="16"/>
              </w:rPr>
              <w:t xml:space="preserve">The date the ONC Certification information was retrieved from the ONC CHPL. </w:t>
            </w:r>
          </w:p>
        </w:tc>
      </w:tr>
      <w:tr w:rsidR="00831D3C" w14:paraId="6F743306" w14:textId="77777777" w:rsidTr="00831D3C">
        <w:trPr>
          <w:cantSplit/>
          <w:trHeight w:val="245"/>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04" w14:textId="77777777" w:rsidR="00831D3C" w:rsidRPr="00F772FC" w:rsidRDefault="00831D3C"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Notes</w:t>
            </w:r>
          </w:p>
        </w:tc>
        <w:tc>
          <w:tcPr>
            <w:tcW w:w="69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05" w14:textId="77777777" w:rsidR="00831D3C" w:rsidRPr="00F772FC" w:rsidRDefault="00831D3C" w:rsidP="00F1758F">
            <w:pPr>
              <w:spacing w:line="360" w:lineRule="auto"/>
              <w:rPr>
                <w:rFonts w:ascii="Arial" w:eastAsia="ヒラギノ角ゴ Pro W3" w:hAnsi="Arial" w:cs="Arial"/>
                <w:color w:val="000000"/>
                <w:sz w:val="16"/>
                <w:szCs w:val="16"/>
              </w:rPr>
            </w:pPr>
            <w:r w:rsidRPr="00F772FC">
              <w:rPr>
                <w:rFonts w:ascii="Arial" w:eastAsia="ヒラギノ角ゴ Pro W3" w:hAnsi="Arial" w:cs="Arial"/>
                <w:color w:val="000000"/>
                <w:sz w:val="16"/>
                <w:szCs w:val="16"/>
              </w:rPr>
              <w:t>Additional items of interest or importance</w:t>
            </w:r>
          </w:p>
        </w:tc>
      </w:tr>
    </w:tbl>
    <w:p w14:paraId="6F743307" w14:textId="77777777" w:rsidR="00E20387" w:rsidRDefault="00E20387" w:rsidP="00F1758F">
      <w:pPr>
        <w:spacing w:line="360" w:lineRule="auto"/>
      </w:pPr>
    </w:p>
    <w:p w14:paraId="6F743308" w14:textId="77777777" w:rsidR="00E20387" w:rsidRDefault="00E20387" w:rsidP="00F1758F">
      <w:pPr>
        <w:spacing w:line="360" w:lineRule="auto"/>
      </w:pPr>
    </w:p>
    <w:p w14:paraId="6F743309" w14:textId="77777777" w:rsidR="00E20387" w:rsidRPr="002B7283" w:rsidRDefault="00E20387" w:rsidP="002B7283">
      <w:pPr>
        <w:pStyle w:val="Heading2"/>
        <w:rPr>
          <w:rFonts w:ascii="Times New Roman" w:hAnsi="Times New Roman" w:cs="Times New Roman"/>
          <w:color w:val="auto"/>
          <w:sz w:val="24"/>
          <w:szCs w:val="24"/>
        </w:rPr>
      </w:pPr>
      <w:bookmarkStart w:id="37" w:name="_Toc284948725"/>
      <w:r w:rsidRPr="002B7283">
        <w:rPr>
          <w:rFonts w:ascii="Times New Roman" w:hAnsi="Times New Roman" w:cs="Times New Roman"/>
          <w:color w:val="auto"/>
          <w:sz w:val="24"/>
          <w:szCs w:val="24"/>
        </w:rPr>
        <w:lastRenderedPageBreak/>
        <w:t xml:space="preserve">Appendix </w:t>
      </w:r>
      <w:r w:rsidR="006C4175" w:rsidRPr="002B7283">
        <w:rPr>
          <w:rFonts w:ascii="Times New Roman" w:hAnsi="Times New Roman" w:cs="Times New Roman"/>
          <w:color w:val="auto"/>
          <w:sz w:val="24"/>
          <w:szCs w:val="24"/>
        </w:rPr>
        <w:t>D</w:t>
      </w:r>
      <w:r w:rsidRPr="002B7283">
        <w:rPr>
          <w:rFonts w:ascii="Times New Roman" w:hAnsi="Times New Roman" w:cs="Times New Roman"/>
          <w:color w:val="auto"/>
          <w:sz w:val="24"/>
          <w:szCs w:val="24"/>
        </w:rPr>
        <w:t>: Patient-Specific Education Resources</w:t>
      </w:r>
      <w:bookmarkEnd w:id="37"/>
    </w:p>
    <w:p w14:paraId="6F74330A" w14:textId="77777777" w:rsidR="00E20387" w:rsidRDefault="00E20387" w:rsidP="00F1758F">
      <w:pPr>
        <w:spacing w:line="360" w:lineRule="auto"/>
      </w:pPr>
    </w:p>
    <w:tbl>
      <w:tblPr>
        <w:tblW w:w="0" w:type="auto"/>
        <w:tblInd w:w="108" w:type="dxa"/>
        <w:shd w:val="clear" w:color="auto" w:fill="FFFFFF"/>
        <w:tblLayout w:type="fixed"/>
        <w:tblLook w:val="0000" w:firstRow="0" w:lastRow="0" w:firstColumn="0" w:lastColumn="0" w:noHBand="0" w:noVBand="0"/>
      </w:tblPr>
      <w:tblGrid>
        <w:gridCol w:w="2900"/>
        <w:gridCol w:w="2667"/>
        <w:gridCol w:w="3316"/>
      </w:tblGrid>
      <w:tr w:rsidR="00E20387" w14:paraId="6F743311" w14:textId="77777777" w:rsidTr="006B5495">
        <w:trPr>
          <w:cantSplit/>
          <w:trHeight w:val="29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0B" w14:textId="77777777" w:rsidR="004C301C" w:rsidRDefault="004C301C" w:rsidP="00F1758F">
            <w:pPr>
              <w:spacing w:line="360" w:lineRule="auto"/>
              <w:rPr>
                <w:rFonts w:ascii="Arial Bold" w:eastAsia="ヒラギノ角ゴ Pro W3" w:hAnsi="Arial Bold"/>
                <w:color w:val="000000"/>
                <w:sz w:val="16"/>
              </w:rPr>
            </w:pPr>
          </w:p>
          <w:p w14:paraId="6F74330C" w14:textId="77777777" w:rsidR="00E20387" w:rsidRDefault="00E20387" w:rsidP="00F1758F">
            <w:pPr>
              <w:spacing w:line="360" w:lineRule="auto"/>
              <w:rPr>
                <w:rFonts w:ascii="Arial Bold" w:eastAsia="ヒラギノ角ゴ Pro W3" w:hAnsi="Arial Bold"/>
                <w:color w:val="000000"/>
                <w:sz w:val="16"/>
              </w:rPr>
            </w:pPr>
            <w:r>
              <w:rPr>
                <w:rFonts w:ascii="Arial Bold" w:eastAsia="ヒラギノ角ゴ Pro W3" w:hAnsi="Arial Bold"/>
                <w:color w:val="000000"/>
                <w:sz w:val="16"/>
              </w:rPr>
              <w:t>Patient Education Product</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0D" w14:textId="77777777" w:rsidR="004C301C" w:rsidRDefault="004C301C" w:rsidP="00F1758F">
            <w:pPr>
              <w:spacing w:line="360" w:lineRule="auto"/>
              <w:rPr>
                <w:rFonts w:ascii="Arial Bold" w:eastAsia="ヒラギノ角ゴ Pro W3" w:hAnsi="Arial Bold"/>
                <w:color w:val="000000"/>
                <w:sz w:val="16"/>
              </w:rPr>
            </w:pPr>
          </w:p>
          <w:p w14:paraId="6F74330E" w14:textId="77777777" w:rsidR="00E20387" w:rsidRDefault="00E20387" w:rsidP="00F1758F">
            <w:pPr>
              <w:spacing w:line="360" w:lineRule="auto"/>
              <w:rPr>
                <w:rFonts w:ascii="Arial Bold" w:eastAsia="ヒラギノ角ゴ Pro W3" w:hAnsi="Arial Bold"/>
                <w:color w:val="000000"/>
                <w:sz w:val="16"/>
              </w:rPr>
            </w:pPr>
            <w:r>
              <w:rPr>
                <w:rFonts w:ascii="Arial Bold" w:eastAsia="ヒラギノ角ゴ Pro W3" w:hAnsi="Arial Bold"/>
                <w:color w:val="000000"/>
                <w:sz w:val="16"/>
              </w:rPr>
              <w:t>EHR Vendors/Products</w:t>
            </w:r>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0F" w14:textId="77777777" w:rsidR="004C301C" w:rsidRDefault="004C301C" w:rsidP="00F1758F">
            <w:pPr>
              <w:spacing w:line="360" w:lineRule="auto"/>
              <w:rPr>
                <w:rFonts w:ascii="Arial Bold" w:eastAsia="ヒラギノ角ゴ Pro W3" w:hAnsi="Arial Bold"/>
                <w:color w:val="000000"/>
                <w:sz w:val="16"/>
              </w:rPr>
            </w:pPr>
          </w:p>
          <w:p w14:paraId="6F743310" w14:textId="77777777" w:rsidR="00574EDB" w:rsidRDefault="00E20387" w:rsidP="00F1758F">
            <w:pPr>
              <w:spacing w:line="360" w:lineRule="auto"/>
              <w:rPr>
                <w:rFonts w:ascii="Arial Bold" w:eastAsia="ヒラギノ角ゴ Pro W3" w:hAnsi="Arial Bold"/>
                <w:color w:val="000000"/>
                <w:sz w:val="16"/>
              </w:rPr>
            </w:pPr>
            <w:r>
              <w:rPr>
                <w:rFonts w:ascii="Arial Bold" w:eastAsia="ヒラギノ角ゴ Pro W3" w:hAnsi="Arial Bold"/>
                <w:color w:val="000000"/>
                <w:sz w:val="16"/>
              </w:rPr>
              <w:t xml:space="preserve">Brief Description </w:t>
            </w:r>
          </w:p>
        </w:tc>
      </w:tr>
      <w:tr w:rsidR="00E20387" w14:paraId="6F74331C" w14:textId="77777777" w:rsidTr="006E6470">
        <w:trPr>
          <w:cantSplit/>
          <w:trHeight w:val="2213"/>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12" w14:textId="77777777" w:rsidR="006E6470" w:rsidRDefault="006E6470" w:rsidP="00F1758F">
            <w:pPr>
              <w:spacing w:line="360" w:lineRule="auto"/>
              <w:rPr>
                <w:rFonts w:ascii="Arial" w:eastAsia="ヒラギノ角ゴ Pro W3" w:hAnsi="Arial"/>
                <w:color w:val="000000"/>
                <w:sz w:val="16"/>
              </w:rPr>
            </w:pPr>
          </w:p>
          <w:p w14:paraId="6F743313" w14:textId="77777777" w:rsidR="00E20387"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A.D.A.M.</w:t>
            </w:r>
          </w:p>
          <w:p w14:paraId="6F743314" w14:textId="77777777" w:rsidR="00992691" w:rsidRDefault="00992691" w:rsidP="00F1758F">
            <w:pPr>
              <w:spacing w:line="360" w:lineRule="auto"/>
              <w:rPr>
                <w:rFonts w:ascii="Arial" w:eastAsia="ヒラギノ角ゴ Pro W3" w:hAnsi="Arial"/>
                <w:color w:val="000000"/>
                <w:sz w:val="16"/>
              </w:rPr>
            </w:pPr>
          </w:p>
          <w:p w14:paraId="6F743315" w14:textId="77777777" w:rsidR="006C052A" w:rsidRDefault="006C052A" w:rsidP="00F1758F">
            <w:pPr>
              <w:spacing w:line="360" w:lineRule="auto"/>
              <w:rPr>
                <w:rFonts w:ascii="Arial" w:eastAsia="ヒラギノ角ゴ Pro W3" w:hAnsi="Arial"/>
                <w:color w:val="000000"/>
                <w:sz w:val="16"/>
              </w:rPr>
            </w:pPr>
            <w:r w:rsidRPr="006C052A">
              <w:rPr>
                <w:rFonts w:ascii="Arial" w:eastAsia="ヒラギノ角ゴ Pro W3" w:hAnsi="Arial"/>
                <w:color w:val="000000"/>
                <w:sz w:val="16"/>
              </w:rPr>
              <w:t>http://www.adam.com/</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16" w14:textId="77777777" w:rsidR="00574EDB" w:rsidRDefault="00574EDB" w:rsidP="00F1758F">
            <w:pPr>
              <w:pStyle w:val="ListParagraph"/>
              <w:spacing w:line="360" w:lineRule="auto"/>
              <w:ind w:left="327"/>
              <w:rPr>
                <w:rFonts w:ascii="Arial" w:eastAsia="ヒラギノ角ゴ Pro W3" w:hAnsi="Arial"/>
                <w:color w:val="000000"/>
                <w:sz w:val="16"/>
              </w:rPr>
            </w:pPr>
          </w:p>
          <w:p w14:paraId="6F743317" w14:textId="460278CE" w:rsidR="00574EDB" w:rsidRDefault="00A50BCF" w:rsidP="00F1758F">
            <w:pPr>
              <w:pStyle w:val="ListParagraph"/>
              <w:numPr>
                <w:ilvl w:val="0"/>
                <w:numId w:val="18"/>
              </w:numPr>
              <w:spacing w:line="360" w:lineRule="auto"/>
              <w:ind w:left="327" w:hanging="180"/>
              <w:rPr>
                <w:rFonts w:ascii="Arial" w:eastAsia="ヒラギノ角ゴ Pro W3" w:hAnsi="Arial"/>
                <w:color w:val="000000"/>
                <w:sz w:val="16"/>
              </w:rPr>
            </w:pPr>
            <w:r>
              <w:rPr>
                <w:rFonts w:ascii="Arial" w:eastAsia="ヒラギノ角ゴ Pro W3" w:hAnsi="Arial"/>
                <w:color w:val="000000"/>
                <w:sz w:val="16"/>
              </w:rPr>
              <w:t>EPIC</w:t>
            </w:r>
          </w:p>
          <w:p w14:paraId="67E14F79" w14:textId="77777777" w:rsidR="00A50BCF" w:rsidRPr="00A50BCF" w:rsidRDefault="00A50BCF" w:rsidP="00A50BCF">
            <w:pPr>
              <w:spacing w:line="360" w:lineRule="auto"/>
              <w:rPr>
                <w:rFonts w:ascii="Arial" w:eastAsia="ヒラギノ角ゴ Pro W3" w:hAnsi="Arial"/>
                <w:color w:val="000000"/>
                <w:sz w:val="16"/>
              </w:rPr>
            </w:pPr>
          </w:p>
          <w:p w14:paraId="6F743318" w14:textId="7C2FE230" w:rsidR="00574EDB" w:rsidRDefault="00206B21" w:rsidP="00F1758F">
            <w:pPr>
              <w:pStyle w:val="ListParagraph"/>
              <w:numPr>
                <w:ilvl w:val="0"/>
                <w:numId w:val="18"/>
              </w:numPr>
              <w:spacing w:line="360" w:lineRule="auto"/>
              <w:ind w:left="327" w:hanging="180"/>
              <w:rPr>
                <w:rFonts w:ascii="Arial" w:eastAsia="ヒラギノ角ゴ Pro W3" w:hAnsi="Arial"/>
                <w:color w:val="000000"/>
                <w:sz w:val="16"/>
              </w:rPr>
            </w:pPr>
            <w:proofErr w:type="spellStart"/>
            <w:r w:rsidRPr="00206B21">
              <w:rPr>
                <w:rFonts w:ascii="Arial" w:eastAsia="ヒラギノ角ゴ Pro W3" w:hAnsi="Arial"/>
                <w:color w:val="000000"/>
                <w:sz w:val="16"/>
              </w:rPr>
              <w:t>eClinicalWorks</w:t>
            </w:r>
            <w:proofErr w:type="spellEnd"/>
            <w:r w:rsidRPr="00206B21">
              <w:rPr>
                <w:rFonts w:ascii="Arial" w:eastAsia="ヒラギノ角ゴ Pro W3" w:hAnsi="Arial"/>
                <w:color w:val="000000"/>
                <w:sz w:val="16"/>
              </w:rPr>
              <w:t>/</w:t>
            </w:r>
            <w:proofErr w:type="spellStart"/>
            <w:r w:rsidRPr="00206B21">
              <w:rPr>
                <w:rFonts w:ascii="Arial" w:eastAsia="ヒラギノ角ゴ Pro W3" w:hAnsi="Arial"/>
                <w:color w:val="000000"/>
                <w:sz w:val="16"/>
              </w:rPr>
              <w:t>eClinicalWorks</w:t>
            </w:r>
            <w:proofErr w:type="spellEnd"/>
            <w:r w:rsidRPr="00206B21">
              <w:rPr>
                <w:rFonts w:ascii="Arial" w:eastAsia="ヒラギノ角ゴ Pro W3" w:hAnsi="Arial"/>
                <w:color w:val="000000"/>
                <w:sz w:val="16"/>
              </w:rPr>
              <w:cr/>
            </w:r>
          </w:p>
          <w:p w14:paraId="6F743319" w14:textId="77777777" w:rsidR="00574EDB" w:rsidRDefault="00206B21" w:rsidP="00F1758F">
            <w:pPr>
              <w:pStyle w:val="ListParagraph"/>
              <w:numPr>
                <w:ilvl w:val="0"/>
                <w:numId w:val="18"/>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Greenway Medical Technologies/</w:t>
            </w:r>
            <w:proofErr w:type="spellStart"/>
            <w:r w:rsidRPr="00206B21">
              <w:rPr>
                <w:rFonts w:ascii="Arial" w:eastAsia="ヒラギノ角ゴ Pro W3" w:hAnsi="Arial"/>
                <w:color w:val="000000"/>
                <w:sz w:val="16"/>
              </w:rPr>
              <w:t>PrimeSuite</w:t>
            </w:r>
            <w:proofErr w:type="spellEnd"/>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1A" w14:textId="77777777" w:rsidR="00574EDB" w:rsidRDefault="00574EDB" w:rsidP="00F1758F">
            <w:pPr>
              <w:spacing w:line="360" w:lineRule="auto"/>
              <w:rPr>
                <w:rFonts w:ascii="Arial" w:eastAsia="ヒラギノ角ゴ Pro W3" w:hAnsi="Arial"/>
                <w:color w:val="000000"/>
                <w:sz w:val="16"/>
              </w:rPr>
            </w:pPr>
          </w:p>
          <w:p w14:paraId="6F74331B" w14:textId="77777777" w:rsidR="00574EDB"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 xml:space="preserve">A.D.A.M. </w:t>
            </w:r>
            <w:r w:rsidR="001F4E08">
              <w:rPr>
                <w:rFonts w:ascii="Arial" w:eastAsia="ヒラギノ角ゴ Pro W3" w:hAnsi="Arial"/>
                <w:color w:val="000000"/>
                <w:sz w:val="16"/>
              </w:rPr>
              <w:t>provides a broad range of health information education and benefits technology solutions. Some of its health solutions products include its Health Illustrated Encyclopedia, its online consumer health Reference Libraries</w:t>
            </w:r>
            <w:r w:rsidR="00A70846">
              <w:rPr>
                <w:rFonts w:ascii="Arial" w:eastAsia="ヒラギノ角ゴ Pro W3" w:hAnsi="Arial"/>
                <w:color w:val="000000"/>
                <w:sz w:val="16"/>
              </w:rPr>
              <w:t xml:space="preserve">, Interactive Decision Tools, Specialty Programs for hospitals and healthcare organizations (including patient education handouts), and mobile technologies. </w:t>
            </w:r>
            <w:r w:rsidR="001F4E08">
              <w:rPr>
                <w:rFonts w:ascii="Arial" w:eastAsia="ヒラギノ角ゴ Pro W3" w:hAnsi="Arial"/>
                <w:color w:val="000000"/>
                <w:sz w:val="16"/>
              </w:rPr>
              <w:t xml:space="preserve"> </w:t>
            </w:r>
          </w:p>
        </w:tc>
      </w:tr>
      <w:tr w:rsidR="00E20387" w14:paraId="6F743325" w14:textId="77777777" w:rsidTr="006E6470">
        <w:trPr>
          <w:cantSplit/>
          <w:trHeight w:val="107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1D" w14:textId="3270E07F" w:rsidR="006E6470" w:rsidRDefault="006E6470" w:rsidP="00F1758F">
            <w:pPr>
              <w:spacing w:line="360" w:lineRule="auto"/>
              <w:rPr>
                <w:rFonts w:ascii="Arial" w:eastAsia="ヒラギノ角ゴ Pro W3" w:hAnsi="Arial"/>
                <w:color w:val="000000"/>
                <w:sz w:val="16"/>
              </w:rPr>
            </w:pPr>
          </w:p>
          <w:p w14:paraId="6F74331E" w14:textId="77777777" w:rsidR="00E20387"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Aprima</w:t>
            </w:r>
            <w:proofErr w:type="spellEnd"/>
            <w:r>
              <w:rPr>
                <w:rFonts w:ascii="Arial" w:eastAsia="ヒラギノ角ゴ Pro W3" w:hAnsi="Arial"/>
                <w:color w:val="000000"/>
                <w:sz w:val="16"/>
              </w:rPr>
              <w:t xml:space="preserve"> Education Material</w:t>
            </w:r>
          </w:p>
          <w:p w14:paraId="6F74331F" w14:textId="77777777" w:rsidR="00992691" w:rsidRDefault="00992691" w:rsidP="00F1758F">
            <w:pPr>
              <w:spacing w:line="360" w:lineRule="auto"/>
              <w:rPr>
                <w:rFonts w:ascii="Arial" w:eastAsia="ヒラギノ角ゴ Pro W3" w:hAnsi="Arial"/>
                <w:color w:val="000000"/>
                <w:sz w:val="16"/>
              </w:rPr>
            </w:pPr>
          </w:p>
          <w:p w14:paraId="6F743320" w14:textId="77777777" w:rsidR="006C052A" w:rsidRDefault="006C052A" w:rsidP="00F1758F">
            <w:pPr>
              <w:spacing w:line="360" w:lineRule="auto"/>
              <w:rPr>
                <w:rFonts w:ascii="Arial" w:eastAsia="ヒラギノ角ゴ Pro W3" w:hAnsi="Arial"/>
                <w:color w:val="000000"/>
                <w:sz w:val="16"/>
              </w:rPr>
            </w:pPr>
            <w:r w:rsidRPr="006C052A">
              <w:rPr>
                <w:rFonts w:ascii="Arial" w:eastAsia="ヒラギノ角ゴ Pro W3" w:hAnsi="Arial"/>
                <w:color w:val="000000"/>
                <w:sz w:val="16"/>
              </w:rPr>
              <w:t>http://www.aprima.com/ehr-features/patient-education-advisors</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21" w14:textId="77777777" w:rsidR="00574EDB" w:rsidRDefault="00574EDB" w:rsidP="00F1758F">
            <w:pPr>
              <w:pStyle w:val="ListParagraph"/>
              <w:spacing w:line="360" w:lineRule="auto"/>
              <w:ind w:left="327"/>
              <w:rPr>
                <w:rFonts w:ascii="Arial" w:eastAsia="ヒラギノ角ゴ Pro W3" w:hAnsi="Arial"/>
                <w:color w:val="000000"/>
                <w:sz w:val="16"/>
              </w:rPr>
            </w:pPr>
          </w:p>
          <w:p w14:paraId="6F743322" w14:textId="77777777" w:rsidR="00574EDB" w:rsidRDefault="00206B21" w:rsidP="00F1758F">
            <w:pPr>
              <w:pStyle w:val="ListParagraph"/>
              <w:numPr>
                <w:ilvl w:val="0"/>
                <w:numId w:val="16"/>
              </w:numPr>
              <w:spacing w:line="360" w:lineRule="auto"/>
              <w:ind w:left="327" w:hanging="180"/>
              <w:rPr>
                <w:rFonts w:ascii="Arial" w:eastAsia="ヒラギノ角ゴ Pro W3" w:hAnsi="Arial"/>
                <w:color w:val="000000"/>
                <w:sz w:val="16"/>
              </w:rPr>
            </w:pPr>
            <w:proofErr w:type="spellStart"/>
            <w:r w:rsidRPr="00206B21">
              <w:rPr>
                <w:rFonts w:ascii="Arial" w:eastAsia="ヒラギノ角ゴ Pro W3" w:hAnsi="Arial"/>
                <w:color w:val="000000"/>
                <w:sz w:val="16"/>
              </w:rPr>
              <w:t>Aprima</w:t>
            </w:r>
            <w:proofErr w:type="spellEnd"/>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23" w14:textId="77777777" w:rsidR="006E6470" w:rsidRDefault="006E6470" w:rsidP="00F1758F">
            <w:pPr>
              <w:spacing w:line="360" w:lineRule="auto"/>
              <w:rPr>
                <w:rFonts w:ascii="Arial" w:eastAsia="ヒラギノ角ゴ Pro W3" w:hAnsi="Arial"/>
                <w:color w:val="000000"/>
                <w:sz w:val="16"/>
              </w:rPr>
            </w:pPr>
          </w:p>
          <w:p w14:paraId="6F743324" w14:textId="77777777" w:rsidR="00574EDB"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Aprima</w:t>
            </w:r>
            <w:proofErr w:type="spellEnd"/>
            <w:r>
              <w:rPr>
                <w:rFonts w:ascii="Arial" w:eastAsia="ヒラギノ角ゴ Pro W3" w:hAnsi="Arial"/>
                <w:color w:val="000000"/>
                <w:sz w:val="16"/>
              </w:rPr>
              <w:t xml:space="preserve"> Education Material from Patient Education Advisors</w:t>
            </w:r>
            <w:r w:rsidR="006E6470">
              <w:rPr>
                <w:rFonts w:ascii="Arial" w:eastAsia="ヒラギノ角ゴ Pro W3" w:hAnsi="Arial"/>
                <w:color w:val="000000"/>
                <w:sz w:val="16"/>
              </w:rPr>
              <w:t xml:space="preserve"> includes customizable a</w:t>
            </w:r>
            <w:r>
              <w:rPr>
                <w:rFonts w:ascii="Arial" w:eastAsia="ヒラギノ角ゴ Pro W3" w:hAnsi="Arial"/>
                <w:color w:val="000000"/>
                <w:sz w:val="16"/>
              </w:rPr>
              <w:t xml:space="preserve">natomical drawings and printed documents. </w:t>
            </w:r>
          </w:p>
        </w:tc>
      </w:tr>
      <w:tr w:rsidR="00E20387" w14:paraId="6F743334" w14:textId="77777777" w:rsidTr="006B5495">
        <w:trPr>
          <w:cantSplit/>
          <w:trHeight w:val="1088"/>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26" w14:textId="77777777" w:rsidR="006E6470" w:rsidRDefault="006E6470" w:rsidP="00F1758F">
            <w:pPr>
              <w:spacing w:line="360" w:lineRule="auto"/>
              <w:rPr>
                <w:rFonts w:ascii="Arial" w:eastAsia="ヒラギノ角ゴ Pro W3" w:hAnsi="Arial"/>
                <w:color w:val="000000"/>
                <w:sz w:val="16"/>
              </w:rPr>
            </w:pPr>
          </w:p>
          <w:p w14:paraId="6F743327" w14:textId="77777777" w:rsidR="00E20387"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 xml:space="preserve">Clinical Reference Systems Advisors Series / </w:t>
            </w:r>
            <w:proofErr w:type="spellStart"/>
            <w:r>
              <w:rPr>
                <w:rFonts w:ascii="Arial" w:eastAsia="ヒラギノ角ゴ Pro W3" w:hAnsi="Arial"/>
                <w:color w:val="000000"/>
                <w:sz w:val="16"/>
              </w:rPr>
              <w:t>RelayHealth</w:t>
            </w:r>
            <w:proofErr w:type="spellEnd"/>
          </w:p>
          <w:p w14:paraId="6F743328" w14:textId="77777777" w:rsidR="00992691" w:rsidRDefault="00992691" w:rsidP="00F1758F">
            <w:pPr>
              <w:spacing w:line="360" w:lineRule="auto"/>
              <w:rPr>
                <w:rFonts w:ascii="Arial" w:eastAsia="ヒラギノ角ゴ Pro W3" w:hAnsi="Arial"/>
                <w:color w:val="000000"/>
                <w:sz w:val="16"/>
              </w:rPr>
            </w:pPr>
          </w:p>
          <w:p w14:paraId="6F743329" w14:textId="77777777" w:rsidR="006C052A" w:rsidRDefault="00992691" w:rsidP="00F1758F">
            <w:pPr>
              <w:spacing w:line="360" w:lineRule="auto"/>
              <w:rPr>
                <w:rFonts w:ascii="Arial" w:eastAsia="ヒラギノ角ゴ Pro W3" w:hAnsi="Arial"/>
                <w:color w:val="000000"/>
                <w:sz w:val="16"/>
              </w:rPr>
            </w:pPr>
            <w:r w:rsidRPr="00992691">
              <w:rPr>
                <w:rFonts w:ascii="Arial" w:eastAsia="ヒラギノ角ゴ Pro W3" w:hAnsi="Arial"/>
                <w:color w:val="000000"/>
                <w:sz w:val="16"/>
              </w:rPr>
              <w:t>https://www.relayhealth.com/specific/hospitals/contactCenterMgt/advisorSeries/</w:t>
            </w:r>
          </w:p>
          <w:p w14:paraId="6F74332A" w14:textId="77777777" w:rsidR="006C052A" w:rsidRDefault="006C052A" w:rsidP="00F1758F">
            <w:pPr>
              <w:spacing w:line="360" w:lineRule="auto"/>
              <w:rPr>
                <w:rFonts w:ascii="Arial" w:eastAsia="ヒラギノ角ゴ Pro W3" w:hAnsi="Arial"/>
                <w:color w:val="000000"/>
                <w:sz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2B" w14:textId="77777777" w:rsidR="00574EDB" w:rsidRDefault="00574EDB" w:rsidP="00F1758F">
            <w:pPr>
              <w:pStyle w:val="ListParagraph"/>
              <w:spacing w:line="360" w:lineRule="auto"/>
              <w:ind w:left="327"/>
              <w:rPr>
                <w:rFonts w:ascii="Arial" w:eastAsia="ヒラギノ角ゴ Pro W3" w:hAnsi="Arial"/>
                <w:color w:val="000000"/>
                <w:sz w:val="16"/>
              </w:rPr>
            </w:pPr>
          </w:p>
          <w:p w14:paraId="6F74332C" w14:textId="77777777" w:rsidR="00574EDB" w:rsidRDefault="00206B21" w:rsidP="00F1758F">
            <w:pPr>
              <w:pStyle w:val="ListParagraph"/>
              <w:numPr>
                <w:ilvl w:val="0"/>
                <w:numId w:val="15"/>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McKesson/</w:t>
            </w:r>
            <w:proofErr w:type="spellStart"/>
            <w:r w:rsidRPr="00206B21">
              <w:rPr>
                <w:rFonts w:ascii="Arial" w:eastAsia="ヒラギノ角ゴ Pro W3" w:hAnsi="Arial"/>
                <w:color w:val="000000"/>
                <w:sz w:val="16"/>
              </w:rPr>
              <w:t>Lytec</w:t>
            </w:r>
            <w:proofErr w:type="spellEnd"/>
            <w:r w:rsidRPr="00206B21">
              <w:rPr>
                <w:rFonts w:ascii="Arial" w:eastAsia="ヒラギノ角ゴ Pro W3" w:hAnsi="Arial"/>
                <w:color w:val="000000"/>
                <w:sz w:val="16"/>
              </w:rPr>
              <w:t xml:space="preserve"> M</w:t>
            </w:r>
          </w:p>
          <w:p w14:paraId="6F74332D" w14:textId="77777777" w:rsidR="00574EDB" w:rsidRDefault="00206B21" w:rsidP="00F1758F">
            <w:pPr>
              <w:pStyle w:val="ListParagraph"/>
              <w:numPr>
                <w:ilvl w:val="0"/>
                <w:numId w:val="15"/>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McKesson/</w:t>
            </w:r>
            <w:proofErr w:type="spellStart"/>
            <w:r w:rsidRPr="00206B21">
              <w:rPr>
                <w:rFonts w:ascii="Arial" w:eastAsia="ヒラギノ角ゴ Pro W3" w:hAnsi="Arial"/>
                <w:color w:val="000000"/>
                <w:sz w:val="16"/>
              </w:rPr>
              <w:t>Medisoft</w:t>
            </w:r>
            <w:proofErr w:type="spellEnd"/>
            <w:r w:rsidRPr="00206B21">
              <w:rPr>
                <w:rFonts w:ascii="Arial" w:eastAsia="ヒラギノ角ゴ Pro W3" w:hAnsi="Arial"/>
                <w:color w:val="000000"/>
                <w:sz w:val="16"/>
              </w:rPr>
              <w:t xml:space="preserve"> Clinical</w:t>
            </w:r>
          </w:p>
          <w:p w14:paraId="6F74332E" w14:textId="77777777" w:rsidR="00574EDB" w:rsidRDefault="00206B21" w:rsidP="00F1758F">
            <w:pPr>
              <w:pStyle w:val="ListParagraph"/>
              <w:numPr>
                <w:ilvl w:val="0"/>
                <w:numId w:val="15"/>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McKesson/Practice Partner</w:t>
            </w:r>
          </w:p>
          <w:p w14:paraId="6F74332F" w14:textId="77777777" w:rsidR="00574EDB" w:rsidRDefault="00206B21" w:rsidP="00F1758F">
            <w:pPr>
              <w:pStyle w:val="ListParagraph"/>
              <w:numPr>
                <w:ilvl w:val="0"/>
                <w:numId w:val="15"/>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eHealth Made Easy / eHealth Made Easy (</w:t>
            </w:r>
            <w:proofErr w:type="spellStart"/>
            <w:r w:rsidRPr="00206B21">
              <w:rPr>
                <w:rFonts w:ascii="Arial" w:eastAsia="ヒラギノ角ゴ Pro W3" w:hAnsi="Arial"/>
                <w:color w:val="000000"/>
                <w:sz w:val="16"/>
              </w:rPr>
              <w:t>RelayHealth</w:t>
            </w:r>
            <w:proofErr w:type="spellEnd"/>
            <w:r w:rsidRPr="00206B21">
              <w:rPr>
                <w:rFonts w:ascii="Arial" w:eastAsia="ヒラギノ角ゴ Pro W3" w:hAnsi="Arial"/>
                <w:color w:val="000000"/>
                <w:sz w:val="16"/>
              </w:rPr>
              <w:t>)</w:t>
            </w:r>
          </w:p>
          <w:p w14:paraId="6F743330" w14:textId="77777777" w:rsidR="00574EDB" w:rsidRDefault="00206B21" w:rsidP="00F1758F">
            <w:pPr>
              <w:pStyle w:val="ListParagraph"/>
              <w:numPr>
                <w:ilvl w:val="0"/>
                <w:numId w:val="5"/>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 xml:space="preserve">HealthCare Systems, Inc. / HCS </w:t>
            </w:r>
            <w:proofErr w:type="spellStart"/>
            <w:r w:rsidRPr="00206B21">
              <w:rPr>
                <w:rFonts w:ascii="Arial" w:eastAsia="ヒラギノ角ゴ Pro W3" w:hAnsi="Arial"/>
                <w:color w:val="000000"/>
                <w:sz w:val="16"/>
              </w:rPr>
              <w:t>eMR</w:t>
            </w:r>
            <w:proofErr w:type="spellEnd"/>
            <w:r w:rsidRPr="00206B21">
              <w:rPr>
                <w:rFonts w:ascii="Arial" w:eastAsia="ヒラギノ角ゴ Pro W3" w:hAnsi="Arial"/>
                <w:color w:val="000000"/>
                <w:sz w:val="16"/>
              </w:rPr>
              <w:t xml:space="preserve"> (</w:t>
            </w:r>
            <w:proofErr w:type="spellStart"/>
            <w:r w:rsidRPr="00206B21">
              <w:rPr>
                <w:rFonts w:ascii="Arial" w:eastAsia="ヒラギノ角ゴ Pro W3" w:hAnsi="Arial"/>
                <w:color w:val="000000"/>
                <w:sz w:val="16"/>
              </w:rPr>
              <w:t>RelayHealth</w:t>
            </w:r>
            <w:proofErr w:type="spellEnd"/>
            <w:r w:rsidRPr="00206B21">
              <w:rPr>
                <w:rFonts w:ascii="Arial" w:eastAsia="ヒラギノ角ゴ Pro W3" w:hAnsi="Arial"/>
                <w:color w:val="000000"/>
                <w:sz w:val="16"/>
              </w:rPr>
              <w:t>)</w:t>
            </w:r>
          </w:p>
          <w:p w14:paraId="6F743331" w14:textId="77777777" w:rsidR="004C301C" w:rsidRDefault="004C301C" w:rsidP="00F1758F">
            <w:pPr>
              <w:spacing w:line="360" w:lineRule="auto"/>
              <w:rPr>
                <w:rFonts w:ascii="Arial" w:eastAsia="ヒラギノ角ゴ Pro W3" w:hAnsi="Arial"/>
                <w:color w:val="000000"/>
                <w:sz w:val="16"/>
              </w:rPr>
            </w:pPr>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32" w14:textId="77777777" w:rsidR="006E6470" w:rsidRDefault="006E6470" w:rsidP="00F1758F">
            <w:pPr>
              <w:spacing w:line="360" w:lineRule="auto"/>
              <w:rPr>
                <w:rFonts w:ascii="Arial" w:eastAsia="ヒラギノ角ゴ Pro W3" w:hAnsi="Arial"/>
                <w:color w:val="000000"/>
                <w:sz w:val="16"/>
              </w:rPr>
            </w:pPr>
          </w:p>
          <w:p w14:paraId="6F743333" w14:textId="77777777" w:rsidR="00574EDB"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 xml:space="preserve">Clinical Reference Systems Advisor Series </w:t>
            </w:r>
            <w:r w:rsidR="00F13EAB">
              <w:rPr>
                <w:rFonts w:ascii="Arial" w:eastAsia="ヒラギノ角ゴ Pro W3" w:hAnsi="Arial"/>
                <w:color w:val="000000"/>
                <w:sz w:val="16"/>
              </w:rPr>
              <w:t xml:space="preserve">includes 9 different programs (Adult Health Advisor, Behavior Health Advisor, etc.) The topics are written and reviewed by physicians and nurses. The materials are available electronically. It provides 5000+ health topics and 6000+ medication products. </w:t>
            </w:r>
            <w:r>
              <w:rPr>
                <w:rFonts w:ascii="Arial" w:eastAsia="ヒラギノ角ゴ Pro W3" w:hAnsi="Arial"/>
                <w:color w:val="000000"/>
                <w:sz w:val="16"/>
              </w:rPr>
              <w:t xml:space="preserve"> </w:t>
            </w:r>
          </w:p>
        </w:tc>
      </w:tr>
      <w:tr w:rsidR="00E20387" w14:paraId="6F74333E" w14:textId="77777777" w:rsidTr="006B5495">
        <w:trPr>
          <w:cantSplit/>
          <w:trHeight w:val="2015"/>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35" w14:textId="77777777" w:rsidR="006E6470" w:rsidRDefault="006E6470" w:rsidP="00F1758F">
            <w:pPr>
              <w:spacing w:line="360" w:lineRule="auto"/>
              <w:rPr>
                <w:rFonts w:ascii="Arial" w:eastAsia="ヒラギノ角ゴ Pro W3" w:hAnsi="Arial"/>
                <w:color w:val="000000"/>
                <w:sz w:val="16"/>
              </w:rPr>
            </w:pPr>
          </w:p>
          <w:p w14:paraId="6F743336" w14:textId="77777777" w:rsidR="00E20387"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DynoMed</w:t>
            </w:r>
            <w:proofErr w:type="spellEnd"/>
            <w:r>
              <w:rPr>
                <w:rFonts w:ascii="Arial" w:eastAsia="ヒラギノ角ゴ Pro W3" w:hAnsi="Arial"/>
                <w:color w:val="000000"/>
                <w:sz w:val="16"/>
              </w:rPr>
              <w:t xml:space="preserve">: </w:t>
            </w:r>
            <w:proofErr w:type="spellStart"/>
            <w:r>
              <w:rPr>
                <w:rFonts w:ascii="Arial" w:eastAsia="ヒラギノ角ゴ Pro W3" w:hAnsi="Arial"/>
                <w:color w:val="000000"/>
                <w:sz w:val="16"/>
              </w:rPr>
              <w:t>Chartlogic</w:t>
            </w:r>
            <w:proofErr w:type="spellEnd"/>
            <w:r>
              <w:rPr>
                <w:rFonts w:ascii="Arial" w:eastAsia="ヒラギノ角ゴ Pro W3" w:hAnsi="Arial"/>
                <w:color w:val="000000"/>
                <w:sz w:val="16"/>
              </w:rPr>
              <w:t xml:space="preserve"> Patient Education</w:t>
            </w:r>
          </w:p>
          <w:p w14:paraId="6F743337" w14:textId="77777777" w:rsidR="00992691" w:rsidRDefault="00992691" w:rsidP="00F1758F">
            <w:pPr>
              <w:spacing w:line="360" w:lineRule="auto"/>
              <w:rPr>
                <w:rFonts w:ascii="Arial" w:eastAsia="ヒラギノ角ゴ Pro W3" w:hAnsi="Arial"/>
                <w:color w:val="000000"/>
                <w:sz w:val="16"/>
              </w:rPr>
            </w:pPr>
          </w:p>
          <w:p w14:paraId="6F743338" w14:textId="77777777" w:rsidR="006C052A" w:rsidRDefault="006C052A" w:rsidP="00F1758F">
            <w:pPr>
              <w:spacing w:line="360" w:lineRule="auto"/>
              <w:rPr>
                <w:rFonts w:ascii="Arial" w:hAnsi="Arial" w:cs="Arial"/>
                <w:color w:val="000000"/>
                <w:sz w:val="16"/>
                <w:szCs w:val="16"/>
              </w:rPr>
            </w:pPr>
            <w:r>
              <w:rPr>
                <w:rFonts w:ascii="Arial" w:hAnsi="Arial" w:cs="Arial"/>
                <w:color w:val="000000"/>
                <w:sz w:val="16"/>
                <w:szCs w:val="16"/>
              </w:rPr>
              <w:t>http://www.chartlogic.com/products/chartlogic-patient-education.php</w:t>
            </w:r>
          </w:p>
          <w:p w14:paraId="6F743339" w14:textId="77777777" w:rsidR="006C052A" w:rsidRDefault="006C052A" w:rsidP="00F1758F">
            <w:pPr>
              <w:spacing w:line="360" w:lineRule="auto"/>
              <w:rPr>
                <w:rFonts w:ascii="Arial" w:eastAsia="ヒラギノ角ゴ Pro W3" w:hAnsi="Arial"/>
                <w:color w:val="000000"/>
                <w:sz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3A" w14:textId="77777777" w:rsidR="00574EDB" w:rsidRDefault="00574EDB" w:rsidP="00F1758F">
            <w:pPr>
              <w:pStyle w:val="ListParagraph"/>
              <w:spacing w:line="360" w:lineRule="auto"/>
              <w:ind w:left="327"/>
              <w:rPr>
                <w:rFonts w:ascii="Arial" w:eastAsia="ヒラギノ角ゴ Pro W3" w:hAnsi="Arial"/>
                <w:color w:val="000000"/>
                <w:sz w:val="16"/>
              </w:rPr>
            </w:pPr>
          </w:p>
          <w:p w14:paraId="6F74333B" w14:textId="77777777" w:rsidR="00574EDB" w:rsidRDefault="00206B21" w:rsidP="00F1758F">
            <w:pPr>
              <w:pStyle w:val="ListParagraph"/>
              <w:numPr>
                <w:ilvl w:val="0"/>
                <w:numId w:val="13"/>
              </w:numPr>
              <w:spacing w:line="360" w:lineRule="auto"/>
              <w:ind w:left="327" w:hanging="180"/>
              <w:rPr>
                <w:rFonts w:ascii="Arial" w:eastAsia="ヒラギノ角ゴ Pro W3" w:hAnsi="Arial"/>
                <w:color w:val="000000"/>
                <w:sz w:val="16"/>
              </w:rPr>
            </w:pPr>
            <w:proofErr w:type="spellStart"/>
            <w:r w:rsidRPr="00206B21">
              <w:rPr>
                <w:rFonts w:ascii="Arial" w:eastAsia="ヒラギノ角ゴ Pro W3" w:hAnsi="Arial"/>
                <w:color w:val="000000"/>
                <w:sz w:val="16"/>
              </w:rPr>
              <w:t>ChartLogic</w:t>
            </w:r>
            <w:proofErr w:type="spellEnd"/>
            <w:r w:rsidRPr="00206B21">
              <w:rPr>
                <w:rFonts w:ascii="Arial" w:eastAsia="ヒラギノ角ゴ Pro W3" w:hAnsi="Arial"/>
                <w:color w:val="000000"/>
                <w:sz w:val="16"/>
              </w:rPr>
              <w:t>/</w:t>
            </w:r>
            <w:proofErr w:type="spellStart"/>
            <w:r w:rsidRPr="00206B21">
              <w:rPr>
                <w:rFonts w:ascii="Arial" w:eastAsia="ヒラギノ角ゴ Pro W3" w:hAnsi="Arial"/>
                <w:color w:val="000000"/>
                <w:sz w:val="16"/>
              </w:rPr>
              <w:t>ChartLogic</w:t>
            </w:r>
            <w:proofErr w:type="spellEnd"/>
            <w:r w:rsidRPr="00206B21">
              <w:rPr>
                <w:rFonts w:ascii="Arial" w:eastAsia="ヒラギノ角ゴ Pro W3" w:hAnsi="Arial"/>
                <w:color w:val="000000"/>
                <w:sz w:val="16"/>
              </w:rPr>
              <w:t xml:space="preserve"> EMR</w:t>
            </w:r>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3C" w14:textId="77777777" w:rsidR="006E6470" w:rsidRDefault="006E6470" w:rsidP="00F1758F">
            <w:pPr>
              <w:spacing w:line="360" w:lineRule="auto"/>
              <w:rPr>
                <w:rFonts w:ascii="Arial" w:eastAsia="ヒラギノ角ゴ Pro W3" w:hAnsi="Arial"/>
                <w:color w:val="222222"/>
                <w:sz w:val="16"/>
              </w:rPr>
            </w:pPr>
          </w:p>
          <w:p w14:paraId="6F74333D" w14:textId="77777777" w:rsidR="00E20387" w:rsidRDefault="00E20387" w:rsidP="00F1758F">
            <w:pPr>
              <w:spacing w:line="360" w:lineRule="auto"/>
              <w:rPr>
                <w:rFonts w:ascii="Arial" w:eastAsia="ヒラギノ角ゴ Pro W3" w:hAnsi="Arial"/>
                <w:color w:val="222222"/>
                <w:sz w:val="16"/>
              </w:rPr>
            </w:pPr>
            <w:proofErr w:type="spellStart"/>
            <w:r>
              <w:rPr>
                <w:rFonts w:ascii="Arial" w:eastAsia="ヒラギノ角ゴ Pro W3" w:hAnsi="Arial"/>
                <w:color w:val="222222"/>
                <w:sz w:val="16"/>
              </w:rPr>
              <w:t>DynoMed</w:t>
            </w:r>
            <w:proofErr w:type="spellEnd"/>
            <w:r>
              <w:rPr>
                <w:rFonts w:ascii="Arial" w:eastAsia="ヒラギノ角ゴ Pro W3" w:hAnsi="Arial"/>
                <w:color w:val="222222"/>
                <w:sz w:val="16"/>
              </w:rPr>
              <w:t xml:space="preserve"> was a developer of patien</w:t>
            </w:r>
            <w:r w:rsidR="00F13EAB">
              <w:rPr>
                <w:rFonts w:ascii="Arial" w:eastAsia="ヒラギノ角ゴ Pro W3" w:hAnsi="Arial"/>
                <w:color w:val="222222"/>
                <w:sz w:val="16"/>
              </w:rPr>
              <w:t xml:space="preserve">t </w:t>
            </w:r>
            <w:r>
              <w:rPr>
                <w:rFonts w:ascii="Arial" w:eastAsia="ヒラギノ角ゴ Pro W3" w:hAnsi="Arial"/>
                <w:color w:val="222222"/>
                <w:sz w:val="16"/>
              </w:rPr>
              <w:t xml:space="preserve">education software and medical multimedia programs, specifically focusing on </w:t>
            </w:r>
            <w:proofErr w:type="spellStart"/>
            <w:r>
              <w:rPr>
                <w:rFonts w:ascii="Arial" w:eastAsia="ヒラギノ角ゴ Pro W3" w:hAnsi="Arial"/>
                <w:color w:val="222222"/>
                <w:sz w:val="16"/>
              </w:rPr>
              <w:t>orthopaedic</w:t>
            </w:r>
            <w:proofErr w:type="spellEnd"/>
            <w:r>
              <w:rPr>
                <w:rFonts w:ascii="Arial" w:eastAsia="ヒラギノ角ゴ Pro W3" w:hAnsi="Arial"/>
                <w:color w:val="222222"/>
                <w:sz w:val="16"/>
              </w:rPr>
              <w:t xml:space="preserve">, spine, and rheumatology issues. </w:t>
            </w:r>
            <w:proofErr w:type="spellStart"/>
            <w:r>
              <w:rPr>
                <w:rFonts w:ascii="Arial" w:eastAsia="ヒラギノ角ゴ Pro W3" w:hAnsi="Arial"/>
                <w:color w:val="222222"/>
                <w:sz w:val="16"/>
              </w:rPr>
              <w:t>DynoMed</w:t>
            </w:r>
            <w:proofErr w:type="spellEnd"/>
            <w:r>
              <w:rPr>
                <w:rFonts w:ascii="Arial" w:eastAsia="ヒラギノ角ゴ Pro W3" w:hAnsi="Arial"/>
                <w:color w:val="222222"/>
                <w:sz w:val="16"/>
              </w:rPr>
              <w:t xml:space="preserve"> was acquired by </w:t>
            </w:r>
            <w:proofErr w:type="spellStart"/>
            <w:r>
              <w:rPr>
                <w:rFonts w:ascii="Arial" w:eastAsia="ヒラギノ角ゴ Pro W3" w:hAnsi="Arial"/>
                <w:color w:val="222222"/>
                <w:sz w:val="16"/>
              </w:rPr>
              <w:t>ChartLogic</w:t>
            </w:r>
            <w:proofErr w:type="spellEnd"/>
            <w:r>
              <w:rPr>
                <w:rFonts w:ascii="Arial" w:eastAsia="ヒラギノ角ゴ Pro W3" w:hAnsi="Arial"/>
                <w:color w:val="222222"/>
                <w:sz w:val="16"/>
              </w:rPr>
              <w:t xml:space="preserve"> in 2004. Conditions and surgical procedure education is provided by the </w:t>
            </w:r>
            <w:proofErr w:type="spellStart"/>
            <w:r>
              <w:rPr>
                <w:rFonts w:ascii="Arial" w:eastAsia="ヒラギノ角ゴ Pro W3" w:hAnsi="Arial"/>
                <w:color w:val="222222"/>
                <w:sz w:val="16"/>
              </w:rPr>
              <w:t>Chartlogic</w:t>
            </w:r>
            <w:proofErr w:type="spellEnd"/>
            <w:r>
              <w:rPr>
                <w:rFonts w:ascii="Arial" w:eastAsia="ヒラギノ角ゴ Pro W3" w:hAnsi="Arial"/>
                <w:color w:val="222222"/>
                <w:sz w:val="16"/>
              </w:rPr>
              <w:t xml:space="preserve"> Brochure </w:t>
            </w:r>
            <w:proofErr w:type="gramStart"/>
            <w:r>
              <w:rPr>
                <w:rFonts w:ascii="Arial" w:eastAsia="ヒラギノ角ゴ Pro W3" w:hAnsi="Arial"/>
                <w:color w:val="222222"/>
                <w:sz w:val="16"/>
              </w:rPr>
              <w:t>Maker ,</w:t>
            </w:r>
            <w:proofErr w:type="gramEnd"/>
            <w:r>
              <w:rPr>
                <w:rFonts w:ascii="Arial" w:eastAsia="ヒラギノ角ゴ Pro W3" w:hAnsi="Arial"/>
                <w:color w:val="222222"/>
                <w:sz w:val="16"/>
              </w:rPr>
              <w:t xml:space="preserve"> </w:t>
            </w:r>
            <w:proofErr w:type="spellStart"/>
            <w:r>
              <w:rPr>
                <w:rFonts w:ascii="Arial" w:eastAsia="ヒラギノ角ゴ Pro W3" w:hAnsi="Arial"/>
                <w:color w:val="222222"/>
                <w:sz w:val="16"/>
              </w:rPr>
              <w:t>ChartLogic</w:t>
            </w:r>
            <w:proofErr w:type="spellEnd"/>
            <w:r>
              <w:rPr>
                <w:rFonts w:ascii="Arial" w:eastAsia="ヒラギノ角ゴ Pro W3" w:hAnsi="Arial"/>
                <w:color w:val="222222"/>
                <w:sz w:val="16"/>
              </w:rPr>
              <w:t xml:space="preserve"> </w:t>
            </w:r>
            <w:proofErr w:type="spellStart"/>
            <w:r>
              <w:rPr>
                <w:rFonts w:ascii="Arial" w:eastAsia="ヒラギノ角ゴ Pro W3" w:hAnsi="Arial"/>
                <w:color w:val="222222"/>
                <w:sz w:val="16"/>
              </w:rPr>
              <w:t>Orthopaedic</w:t>
            </w:r>
            <w:proofErr w:type="spellEnd"/>
            <w:r>
              <w:rPr>
                <w:rFonts w:ascii="Arial" w:eastAsia="ヒラギノ角ゴ Pro W3" w:hAnsi="Arial"/>
                <w:color w:val="222222"/>
                <w:sz w:val="16"/>
              </w:rPr>
              <w:t xml:space="preserve"> Cinema , </w:t>
            </w:r>
            <w:proofErr w:type="spellStart"/>
            <w:r>
              <w:rPr>
                <w:rFonts w:ascii="Arial" w:eastAsia="ヒラギノ角ゴ Pro W3" w:hAnsi="Arial"/>
                <w:color w:val="222222"/>
                <w:sz w:val="16"/>
              </w:rPr>
              <w:t>ChartLogic</w:t>
            </w:r>
            <w:proofErr w:type="spellEnd"/>
            <w:r>
              <w:rPr>
                <w:rFonts w:ascii="Arial" w:eastAsia="ヒラギノ角ゴ Pro W3" w:hAnsi="Arial"/>
                <w:color w:val="222222"/>
                <w:sz w:val="16"/>
              </w:rPr>
              <w:t xml:space="preserve"> </w:t>
            </w:r>
            <w:proofErr w:type="spellStart"/>
            <w:r>
              <w:rPr>
                <w:rFonts w:ascii="Arial" w:eastAsia="ヒラギノ角ゴ Pro W3" w:hAnsi="Arial"/>
                <w:color w:val="222222"/>
                <w:sz w:val="16"/>
              </w:rPr>
              <w:t>Orthopaedic</w:t>
            </w:r>
            <w:proofErr w:type="spellEnd"/>
            <w:r>
              <w:rPr>
                <w:rFonts w:ascii="Arial" w:eastAsia="ヒラギノ角ゴ Pro W3" w:hAnsi="Arial"/>
                <w:color w:val="222222"/>
                <w:sz w:val="16"/>
              </w:rPr>
              <w:t xml:space="preserve"> Animator.</w:t>
            </w:r>
          </w:p>
        </w:tc>
      </w:tr>
      <w:tr w:rsidR="00E20387" w14:paraId="6F743352" w14:textId="77777777" w:rsidTr="006E6470">
        <w:trPr>
          <w:cantSplit/>
          <w:trHeight w:val="278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3F" w14:textId="77777777" w:rsidR="006E6470" w:rsidRDefault="006E6470" w:rsidP="00F1758F">
            <w:pPr>
              <w:spacing w:line="360" w:lineRule="auto"/>
              <w:rPr>
                <w:rFonts w:ascii="Arial" w:eastAsia="ヒラギノ角ゴ Pro W3" w:hAnsi="Arial"/>
                <w:color w:val="000000"/>
                <w:sz w:val="16"/>
              </w:rPr>
            </w:pPr>
          </w:p>
          <w:p w14:paraId="6F743340" w14:textId="77777777" w:rsidR="00992691"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ExitCare</w:t>
            </w:r>
            <w:proofErr w:type="spellEnd"/>
          </w:p>
          <w:p w14:paraId="6F743341" w14:textId="77777777" w:rsidR="006E6470" w:rsidRDefault="006E6470" w:rsidP="00F1758F">
            <w:pPr>
              <w:spacing w:line="360" w:lineRule="auto"/>
              <w:rPr>
                <w:rFonts w:ascii="Arial" w:eastAsia="ヒラギノ角ゴ Pro W3" w:hAnsi="Arial"/>
                <w:color w:val="000000"/>
                <w:sz w:val="16"/>
              </w:rPr>
            </w:pPr>
          </w:p>
          <w:p w14:paraId="6F743342" w14:textId="77777777" w:rsidR="006C052A" w:rsidRDefault="006C052A" w:rsidP="00F1758F">
            <w:pPr>
              <w:spacing w:line="360" w:lineRule="auto"/>
              <w:rPr>
                <w:rFonts w:ascii="Arial" w:eastAsia="ヒラギノ角ゴ Pro W3" w:hAnsi="Arial"/>
                <w:color w:val="000000"/>
                <w:sz w:val="16"/>
              </w:rPr>
            </w:pPr>
            <w:r w:rsidRPr="006C052A">
              <w:rPr>
                <w:rFonts w:ascii="Arial" w:eastAsia="ヒラギノ角ゴ Pro W3" w:hAnsi="Arial"/>
                <w:color w:val="000000"/>
                <w:sz w:val="16"/>
              </w:rPr>
              <w:t>http://www.exitcare.com/index.html</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4C" w14:textId="77777777" w:rsidR="00574EDB" w:rsidRDefault="00574EDB" w:rsidP="00A50BCF">
            <w:pPr>
              <w:spacing w:after="240" w:line="360" w:lineRule="auto"/>
              <w:rPr>
                <w:rFonts w:ascii="Arial" w:eastAsia="ヒラギノ角ゴ Pro W3" w:hAnsi="Arial"/>
                <w:color w:val="000000"/>
                <w:sz w:val="2"/>
                <w:szCs w:val="2"/>
              </w:rPr>
            </w:pPr>
          </w:p>
          <w:p w14:paraId="6F74334D" w14:textId="77777777" w:rsidR="00574EDB" w:rsidRDefault="00206B21" w:rsidP="00F1758F">
            <w:pPr>
              <w:pStyle w:val="ListParagraph"/>
              <w:numPr>
                <w:ilvl w:val="0"/>
                <w:numId w:val="12"/>
              </w:numPr>
              <w:spacing w:line="360" w:lineRule="auto"/>
              <w:ind w:left="327" w:hanging="180"/>
              <w:rPr>
                <w:rFonts w:ascii="Arial" w:eastAsia="ヒラギノ角ゴ Pro W3" w:hAnsi="Arial"/>
                <w:color w:val="000000"/>
                <w:sz w:val="2"/>
                <w:szCs w:val="2"/>
              </w:rPr>
            </w:pPr>
            <w:r w:rsidRPr="00206B21">
              <w:rPr>
                <w:rFonts w:ascii="Arial" w:eastAsia="ヒラギノ角ゴ Pro W3" w:hAnsi="Arial"/>
                <w:color w:val="000000"/>
                <w:sz w:val="16"/>
              </w:rPr>
              <w:t>MEDHOST/EDIS</w:t>
            </w:r>
            <w:r w:rsidRPr="00206B21">
              <w:rPr>
                <w:rFonts w:ascii="Arial" w:eastAsia="ヒラギノ角ゴ Pro W3" w:hAnsi="Arial"/>
                <w:color w:val="000000"/>
                <w:sz w:val="16"/>
              </w:rPr>
              <w:cr/>
            </w:r>
          </w:p>
          <w:p w14:paraId="6F74334E" w14:textId="77777777" w:rsidR="00574EDB" w:rsidRDefault="00206B21" w:rsidP="00F1758F">
            <w:pPr>
              <w:pStyle w:val="ListParagraph"/>
              <w:numPr>
                <w:ilvl w:val="0"/>
                <w:numId w:val="12"/>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EPIC</w:t>
            </w:r>
          </w:p>
          <w:p w14:paraId="6F74334F" w14:textId="77777777" w:rsidR="00574EDB" w:rsidRDefault="00574EDB" w:rsidP="00F1758F">
            <w:pPr>
              <w:spacing w:line="360" w:lineRule="auto"/>
              <w:rPr>
                <w:rFonts w:ascii="Arial" w:eastAsia="ヒラギノ角ゴ Pro W3" w:hAnsi="Arial"/>
                <w:color w:val="000000"/>
                <w:sz w:val="16"/>
              </w:rPr>
            </w:pPr>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50" w14:textId="77777777" w:rsidR="006E6470" w:rsidRDefault="006E6470" w:rsidP="00F1758F">
            <w:pPr>
              <w:spacing w:line="360" w:lineRule="auto"/>
              <w:rPr>
                <w:rFonts w:ascii="Arial" w:eastAsia="ヒラギノ角ゴ Pro W3" w:hAnsi="Arial"/>
                <w:color w:val="000000"/>
                <w:sz w:val="16"/>
              </w:rPr>
            </w:pPr>
          </w:p>
          <w:p w14:paraId="6F743351" w14:textId="77777777" w:rsidR="00574EDB"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ExitCare</w:t>
            </w:r>
            <w:proofErr w:type="spellEnd"/>
            <w:r>
              <w:rPr>
                <w:rFonts w:ascii="Arial" w:eastAsia="ヒラギノ角ゴ Pro W3" w:hAnsi="Arial"/>
                <w:color w:val="000000"/>
                <w:sz w:val="16"/>
              </w:rPr>
              <w:t xml:space="preserve"> </w:t>
            </w:r>
            <w:r w:rsidR="006E6470">
              <w:rPr>
                <w:rFonts w:ascii="Arial" w:eastAsia="ヒラギノ角ゴ Pro W3" w:hAnsi="Arial"/>
                <w:color w:val="000000"/>
                <w:sz w:val="16"/>
              </w:rPr>
              <w:t xml:space="preserve">provides patient Discharge Instructions and Patient Education </w:t>
            </w:r>
            <w:proofErr w:type="gramStart"/>
            <w:r w:rsidR="006E6470">
              <w:rPr>
                <w:rFonts w:ascii="Arial" w:eastAsia="ヒラギノ角ゴ Pro W3" w:hAnsi="Arial"/>
                <w:color w:val="000000"/>
                <w:sz w:val="16"/>
              </w:rPr>
              <w:t>using  “</w:t>
            </w:r>
            <w:proofErr w:type="gramEnd"/>
            <w:r>
              <w:rPr>
                <w:rFonts w:ascii="Arial" w:eastAsia="ヒラギノ角ゴ Pro W3" w:hAnsi="Arial"/>
                <w:color w:val="000000"/>
                <w:sz w:val="16"/>
              </w:rPr>
              <w:t>well-structured, age-appropriate and understandable words and graphics to present complete and concise information in over 3,800 unique English topics and over 2,800 unique English &amp; Spanish drug specific information sheets</w:t>
            </w:r>
            <w:r w:rsidR="006E6470">
              <w:rPr>
                <w:rFonts w:ascii="Arial" w:eastAsia="ヒラギノ角ゴ Pro W3" w:hAnsi="Arial"/>
                <w:color w:val="000000"/>
                <w:sz w:val="16"/>
              </w:rPr>
              <w:t xml:space="preserve">.” Information in multiple languages is available. </w:t>
            </w:r>
            <w:proofErr w:type="spellStart"/>
            <w:r>
              <w:rPr>
                <w:rFonts w:ascii="Arial" w:eastAsia="ヒラギノ角ゴ Pro W3" w:hAnsi="Arial"/>
                <w:color w:val="000000"/>
                <w:sz w:val="16"/>
              </w:rPr>
              <w:t>ExitCare</w:t>
            </w:r>
            <w:proofErr w:type="spellEnd"/>
            <w:r>
              <w:rPr>
                <w:rFonts w:ascii="Arial" w:eastAsia="ヒラギノ角ゴ Pro W3" w:hAnsi="Arial"/>
                <w:color w:val="000000"/>
                <w:sz w:val="16"/>
              </w:rPr>
              <w:t xml:space="preserve"> </w:t>
            </w:r>
            <w:r w:rsidR="006E6470">
              <w:rPr>
                <w:rFonts w:ascii="Arial" w:eastAsia="ヒラギノ角ゴ Pro W3" w:hAnsi="Arial"/>
                <w:color w:val="000000"/>
                <w:sz w:val="16"/>
              </w:rPr>
              <w:t xml:space="preserve">also </w:t>
            </w:r>
            <w:r>
              <w:rPr>
                <w:rFonts w:ascii="Arial" w:eastAsia="ヒラギノ角ゴ Pro W3" w:hAnsi="Arial"/>
                <w:color w:val="000000"/>
                <w:sz w:val="16"/>
              </w:rPr>
              <w:t xml:space="preserve">provides an </w:t>
            </w:r>
            <w:r w:rsidR="006E6470">
              <w:rPr>
                <w:rFonts w:ascii="Arial" w:eastAsia="ヒラギノ角ゴ Pro W3" w:hAnsi="Arial"/>
                <w:color w:val="000000"/>
                <w:sz w:val="16"/>
              </w:rPr>
              <w:t>“</w:t>
            </w:r>
            <w:r>
              <w:rPr>
                <w:rFonts w:ascii="Arial" w:eastAsia="ヒラギノ角ゴ Pro W3" w:hAnsi="Arial"/>
                <w:color w:val="000000"/>
                <w:sz w:val="16"/>
              </w:rPr>
              <w:t xml:space="preserve">enterprise-wide solution to include Ambulatory Care, ED and In-Patient care settings as well as hospital and office-based physician portals to support Epic's </w:t>
            </w:r>
            <w:proofErr w:type="spellStart"/>
            <w:r>
              <w:rPr>
                <w:rFonts w:ascii="Arial" w:eastAsia="ヒラギノ角ゴ Pro W3" w:hAnsi="Arial"/>
                <w:color w:val="000000"/>
                <w:sz w:val="16"/>
              </w:rPr>
              <w:t>MyChart</w:t>
            </w:r>
            <w:proofErr w:type="spellEnd"/>
            <w:r>
              <w:rPr>
                <w:rFonts w:ascii="Arial" w:eastAsia="ヒラギノ角ゴ Pro W3" w:hAnsi="Arial"/>
                <w:color w:val="000000"/>
                <w:sz w:val="16"/>
              </w:rPr>
              <w:t>.</w:t>
            </w:r>
            <w:r w:rsidR="006E6470">
              <w:rPr>
                <w:rFonts w:ascii="Arial" w:eastAsia="ヒラギノ角ゴ Pro W3" w:hAnsi="Arial"/>
                <w:color w:val="000000"/>
                <w:sz w:val="16"/>
              </w:rPr>
              <w:t>”</w:t>
            </w:r>
            <w:r>
              <w:rPr>
                <w:rFonts w:ascii="Arial" w:eastAsia="ヒラギノ角ゴ Pro W3" w:hAnsi="Arial"/>
                <w:color w:val="000000"/>
                <w:sz w:val="16"/>
              </w:rPr>
              <w:t xml:space="preserve"> </w:t>
            </w:r>
          </w:p>
        </w:tc>
      </w:tr>
      <w:tr w:rsidR="00E20387" w14:paraId="6F74335D" w14:textId="77777777" w:rsidTr="006B5495">
        <w:trPr>
          <w:cantSplit/>
          <w:trHeight w:val="125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53" w14:textId="77777777" w:rsidR="006E6470" w:rsidRDefault="006E6470" w:rsidP="00F1758F">
            <w:pPr>
              <w:spacing w:line="360" w:lineRule="auto"/>
              <w:rPr>
                <w:rFonts w:ascii="Arial" w:eastAsia="ヒラギノ角ゴ Pro W3" w:hAnsi="Arial"/>
                <w:color w:val="000000"/>
                <w:sz w:val="16"/>
              </w:rPr>
            </w:pPr>
          </w:p>
          <w:p w14:paraId="6F743354" w14:textId="77777777" w:rsidR="00992691"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ExitWriter</w:t>
            </w:r>
            <w:proofErr w:type="spellEnd"/>
            <w:r>
              <w:rPr>
                <w:rFonts w:ascii="Arial" w:eastAsia="ヒラギノ角ゴ Pro W3" w:hAnsi="Arial"/>
                <w:color w:val="000000"/>
                <w:sz w:val="16"/>
              </w:rPr>
              <w:t xml:space="preserve"> (</w:t>
            </w: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 xml:space="preserve">) </w:t>
            </w:r>
          </w:p>
          <w:p w14:paraId="6F743355" w14:textId="77777777" w:rsidR="006E6470" w:rsidRDefault="006E6470" w:rsidP="00F1758F">
            <w:pPr>
              <w:spacing w:line="360" w:lineRule="auto"/>
              <w:rPr>
                <w:rFonts w:ascii="Arial" w:eastAsia="ヒラギノ角ゴ Pro W3" w:hAnsi="Arial"/>
                <w:color w:val="000000"/>
                <w:sz w:val="16"/>
              </w:rPr>
            </w:pPr>
          </w:p>
          <w:p w14:paraId="6F743356" w14:textId="77777777" w:rsidR="006C052A" w:rsidRDefault="006C052A" w:rsidP="00F1758F">
            <w:pPr>
              <w:spacing w:line="360" w:lineRule="auto"/>
              <w:rPr>
                <w:rFonts w:ascii="Arial" w:hAnsi="Arial" w:cs="Arial"/>
                <w:color w:val="000000"/>
                <w:sz w:val="16"/>
                <w:szCs w:val="16"/>
              </w:rPr>
            </w:pPr>
            <w:r>
              <w:rPr>
                <w:rFonts w:ascii="Arial" w:hAnsi="Arial" w:cs="Arial"/>
                <w:color w:val="000000"/>
                <w:sz w:val="16"/>
                <w:szCs w:val="16"/>
              </w:rPr>
              <w:t>http://www.exitwriter.com/</w:t>
            </w:r>
          </w:p>
          <w:p w14:paraId="6F743357" w14:textId="77777777" w:rsidR="006C052A" w:rsidRDefault="006C052A" w:rsidP="00F1758F">
            <w:pPr>
              <w:spacing w:line="360" w:lineRule="auto"/>
              <w:rPr>
                <w:rFonts w:ascii="Arial" w:eastAsia="ヒラギノ角ゴ Pro W3" w:hAnsi="Arial"/>
                <w:color w:val="000000"/>
                <w:sz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58" w14:textId="77777777" w:rsidR="00574EDB" w:rsidRDefault="00574EDB" w:rsidP="00F1758F">
            <w:pPr>
              <w:pStyle w:val="ListParagraph"/>
              <w:spacing w:line="360" w:lineRule="auto"/>
              <w:ind w:left="327"/>
              <w:rPr>
                <w:rFonts w:ascii="Arial" w:eastAsia="ヒラギノ角ゴ Pro W3" w:hAnsi="Arial"/>
                <w:color w:val="000000"/>
                <w:sz w:val="16"/>
              </w:rPr>
            </w:pPr>
          </w:p>
          <w:p w14:paraId="6F743359" w14:textId="77777777" w:rsidR="00574EDB" w:rsidRDefault="00206B21" w:rsidP="00F1758F">
            <w:pPr>
              <w:pStyle w:val="ListParagraph"/>
              <w:numPr>
                <w:ilvl w:val="0"/>
                <w:numId w:val="10"/>
              </w:numPr>
              <w:spacing w:line="360" w:lineRule="auto"/>
              <w:ind w:left="327" w:hanging="180"/>
              <w:rPr>
                <w:rFonts w:ascii="Arial" w:eastAsia="ヒラギノ角ゴ Pro W3" w:hAnsi="Arial"/>
                <w:color w:val="000000"/>
                <w:sz w:val="16"/>
              </w:rPr>
            </w:pPr>
            <w:proofErr w:type="spellStart"/>
            <w:r w:rsidRPr="00206B21">
              <w:rPr>
                <w:rFonts w:ascii="Arial" w:eastAsia="ヒラギノ角ゴ Pro W3" w:hAnsi="Arial"/>
                <w:color w:val="000000"/>
                <w:sz w:val="16"/>
              </w:rPr>
              <w:t>eClinicalWorks</w:t>
            </w:r>
            <w:proofErr w:type="spellEnd"/>
            <w:r w:rsidRPr="00206B21">
              <w:rPr>
                <w:rFonts w:ascii="Arial" w:eastAsia="ヒラギノ角ゴ Pro W3" w:hAnsi="Arial"/>
                <w:color w:val="000000"/>
                <w:sz w:val="16"/>
              </w:rPr>
              <w:t>/</w:t>
            </w:r>
            <w:proofErr w:type="spellStart"/>
            <w:r w:rsidRPr="00206B21">
              <w:rPr>
                <w:rFonts w:ascii="Arial" w:eastAsia="ヒラギノ角ゴ Pro W3" w:hAnsi="Arial"/>
                <w:color w:val="000000"/>
                <w:sz w:val="16"/>
              </w:rPr>
              <w:t>eClinicalWorks</w:t>
            </w:r>
            <w:proofErr w:type="spellEnd"/>
          </w:p>
          <w:p w14:paraId="6F74335A" w14:textId="77777777" w:rsidR="00574EDB" w:rsidRDefault="004C301C" w:rsidP="00F1758F">
            <w:pPr>
              <w:pStyle w:val="ListParagraph"/>
              <w:numPr>
                <w:ilvl w:val="0"/>
                <w:numId w:val="10"/>
              </w:numPr>
              <w:spacing w:line="360" w:lineRule="auto"/>
              <w:ind w:left="327" w:hanging="180"/>
              <w:rPr>
                <w:rFonts w:ascii="Arial" w:eastAsia="ヒラギノ角ゴ Pro W3" w:hAnsi="Arial"/>
                <w:color w:val="000000"/>
                <w:sz w:val="16"/>
              </w:rPr>
            </w:pPr>
            <w:r>
              <w:rPr>
                <w:rFonts w:ascii="Arial" w:eastAsia="ヒラギノ角ゴ Pro W3" w:hAnsi="Arial"/>
                <w:color w:val="000000"/>
                <w:sz w:val="16"/>
              </w:rPr>
              <w:t xml:space="preserve">MEDHOST, Inc. / </w:t>
            </w:r>
            <w:proofErr w:type="spellStart"/>
            <w:r>
              <w:rPr>
                <w:rFonts w:ascii="Arial" w:eastAsia="ヒラギノ角ゴ Pro W3" w:hAnsi="Arial"/>
                <w:color w:val="000000"/>
                <w:sz w:val="16"/>
              </w:rPr>
              <w:t>EDISx</w:t>
            </w:r>
            <w:proofErr w:type="spellEnd"/>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5B" w14:textId="77777777" w:rsidR="006E6470" w:rsidRDefault="006E6470" w:rsidP="00F1758F">
            <w:pPr>
              <w:spacing w:line="360" w:lineRule="auto"/>
              <w:rPr>
                <w:rFonts w:ascii="Arial" w:eastAsia="ヒラギノ角ゴ Pro W3" w:hAnsi="Arial"/>
                <w:color w:val="333333"/>
                <w:sz w:val="16"/>
              </w:rPr>
            </w:pPr>
          </w:p>
          <w:p w14:paraId="6F74335C" w14:textId="77777777" w:rsidR="00574EDB" w:rsidRDefault="00E20387" w:rsidP="00F1758F">
            <w:pPr>
              <w:spacing w:line="360" w:lineRule="auto"/>
              <w:rPr>
                <w:rFonts w:ascii="Arial" w:eastAsia="ヒラギノ角ゴ Pro W3" w:hAnsi="Arial"/>
                <w:color w:val="333333"/>
                <w:sz w:val="16"/>
              </w:rPr>
            </w:pPr>
            <w:proofErr w:type="spellStart"/>
            <w:r>
              <w:rPr>
                <w:rFonts w:ascii="Arial" w:eastAsia="ヒラギノ角ゴ Pro W3" w:hAnsi="Arial"/>
                <w:color w:val="333333"/>
                <w:sz w:val="16"/>
              </w:rPr>
              <w:t>Krames</w:t>
            </w:r>
            <w:proofErr w:type="spellEnd"/>
            <w:r>
              <w:rPr>
                <w:rFonts w:ascii="Arial" w:eastAsia="ヒラギノ角ゴ Pro W3" w:hAnsi="Arial"/>
                <w:color w:val="333333"/>
                <w:sz w:val="16"/>
              </w:rPr>
              <w:t xml:space="preserve"> Exit-Writer After-Care Instructions </w:t>
            </w:r>
            <w:r w:rsidR="006E6470">
              <w:rPr>
                <w:rFonts w:ascii="Arial" w:eastAsia="ヒラギノ角ゴ Pro W3" w:hAnsi="Arial"/>
                <w:color w:val="333333"/>
                <w:sz w:val="16"/>
              </w:rPr>
              <w:t>provide information on “injury and illness diagnoses, medications, prescriptions, forms, diets, consents and lab tests”</w:t>
            </w:r>
            <w:r>
              <w:rPr>
                <w:rFonts w:ascii="Arial" w:eastAsia="ヒラギノ角ゴ Pro W3" w:hAnsi="Arial"/>
                <w:color w:val="333333"/>
                <w:sz w:val="16"/>
              </w:rPr>
              <w:t>.</w:t>
            </w:r>
            <w:r w:rsidR="006E6470">
              <w:rPr>
                <w:rFonts w:ascii="Arial" w:eastAsia="ヒラギノ角ゴ Pro W3" w:hAnsi="Arial"/>
                <w:color w:val="333333"/>
                <w:sz w:val="16"/>
              </w:rPr>
              <w:t xml:space="preserve"> They are designed for an emergency room setting. </w:t>
            </w:r>
          </w:p>
        </w:tc>
      </w:tr>
      <w:tr w:rsidR="00E20387" w14:paraId="6F743367" w14:textId="77777777" w:rsidTr="006B5495">
        <w:trPr>
          <w:cantSplit/>
          <w:trHeight w:val="161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5E" w14:textId="77777777" w:rsidR="00E02012" w:rsidRDefault="00E02012" w:rsidP="00F1758F">
            <w:pPr>
              <w:spacing w:line="360" w:lineRule="auto"/>
              <w:rPr>
                <w:rFonts w:ascii="Arial" w:eastAsia="ヒラギノ角ゴ Pro W3" w:hAnsi="Arial"/>
                <w:color w:val="000000"/>
                <w:sz w:val="16"/>
              </w:rPr>
            </w:pPr>
          </w:p>
          <w:p w14:paraId="6F74335F" w14:textId="77777777" w:rsidR="00E20387"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Healthline</w:t>
            </w:r>
            <w:proofErr w:type="spellEnd"/>
            <w:r>
              <w:rPr>
                <w:rFonts w:ascii="Arial" w:eastAsia="ヒラギノ角ゴ Pro W3" w:hAnsi="Arial"/>
                <w:color w:val="000000"/>
                <w:sz w:val="16"/>
              </w:rPr>
              <w:t xml:space="preserve"> Networks</w:t>
            </w:r>
          </w:p>
          <w:p w14:paraId="6F743360" w14:textId="77777777" w:rsidR="00992691" w:rsidRDefault="00992691" w:rsidP="00F1758F">
            <w:pPr>
              <w:spacing w:line="360" w:lineRule="auto"/>
              <w:rPr>
                <w:rFonts w:ascii="Arial" w:eastAsia="ヒラギノ角ゴ Pro W3" w:hAnsi="Arial"/>
                <w:color w:val="000000"/>
                <w:sz w:val="16"/>
              </w:rPr>
            </w:pPr>
          </w:p>
          <w:p w14:paraId="6F743361" w14:textId="77777777" w:rsidR="006C052A" w:rsidRDefault="006C052A" w:rsidP="00F1758F">
            <w:pPr>
              <w:spacing w:line="360" w:lineRule="auto"/>
              <w:rPr>
                <w:rFonts w:ascii="Arial" w:hAnsi="Arial" w:cs="Arial"/>
                <w:color w:val="000000"/>
                <w:sz w:val="16"/>
                <w:szCs w:val="16"/>
              </w:rPr>
            </w:pPr>
            <w:r>
              <w:rPr>
                <w:rFonts w:ascii="Arial" w:hAnsi="Arial" w:cs="Arial"/>
                <w:color w:val="000000"/>
                <w:sz w:val="16"/>
                <w:szCs w:val="16"/>
              </w:rPr>
              <w:t>http://www.healthline.com/</w:t>
            </w:r>
          </w:p>
          <w:p w14:paraId="6F743362" w14:textId="77777777" w:rsidR="006C052A" w:rsidRDefault="006C052A" w:rsidP="00F1758F">
            <w:pPr>
              <w:spacing w:line="360" w:lineRule="auto"/>
              <w:rPr>
                <w:rFonts w:ascii="Arial" w:eastAsia="ヒラギノ角ゴ Pro W3" w:hAnsi="Arial"/>
                <w:color w:val="000000"/>
                <w:sz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63" w14:textId="77777777" w:rsidR="00574EDB" w:rsidRDefault="00574EDB" w:rsidP="00F1758F">
            <w:pPr>
              <w:pStyle w:val="ListParagraph"/>
              <w:spacing w:line="360" w:lineRule="auto"/>
              <w:ind w:left="327"/>
              <w:rPr>
                <w:rFonts w:ascii="Arial" w:eastAsia="ヒラギノ角ゴ Pro W3" w:hAnsi="Arial"/>
                <w:color w:val="000000"/>
                <w:sz w:val="16"/>
              </w:rPr>
            </w:pPr>
          </w:p>
          <w:p w14:paraId="6F743364" w14:textId="77777777" w:rsidR="00574EDB" w:rsidRDefault="00206B21" w:rsidP="00F1758F">
            <w:pPr>
              <w:pStyle w:val="ListParagraph"/>
              <w:numPr>
                <w:ilvl w:val="0"/>
                <w:numId w:val="19"/>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Universal EMR Solutions/Physician's Solution</w:t>
            </w:r>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65" w14:textId="77777777" w:rsidR="00E02012" w:rsidRDefault="00E02012" w:rsidP="00F1758F">
            <w:pPr>
              <w:spacing w:line="360" w:lineRule="auto"/>
              <w:rPr>
                <w:rFonts w:ascii="Arial" w:eastAsia="ヒラギノ角ゴ Pro W3" w:hAnsi="Arial"/>
                <w:color w:val="000000"/>
                <w:sz w:val="16"/>
              </w:rPr>
            </w:pPr>
          </w:p>
          <w:p w14:paraId="6F743366" w14:textId="77777777" w:rsidR="00E20387"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Healthline</w:t>
            </w:r>
            <w:proofErr w:type="spellEnd"/>
            <w:r>
              <w:rPr>
                <w:rFonts w:ascii="Arial" w:eastAsia="ヒラギノ角ゴ Pro W3" w:hAnsi="Arial"/>
                <w:color w:val="000000"/>
                <w:sz w:val="16"/>
              </w:rPr>
              <w:t xml:space="preserve"> uses a terminology database of </w:t>
            </w:r>
            <w:r w:rsidR="00E02012">
              <w:rPr>
                <w:rFonts w:ascii="Arial" w:eastAsia="ヒラギノ角ゴ Pro W3" w:hAnsi="Arial"/>
                <w:color w:val="000000"/>
                <w:sz w:val="16"/>
              </w:rPr>
              <w:t>“</w:t>
            </w:r>
            <w:r>
              <w:rPr>
                <w:rFonts w:ascii="Arial" w:eastAsia="ヒラギノ角ゴ Pro W3" w:hAnsi="Arial"/>
                <w:color w:val="000000"/>
                <w:sz w:val="16"/>
              </w:rPr>
              <w:t>over one million medical terms and consumer friendly synonyms, as well as 250,000 medical concepts that include diseases, conditions, causes, symptoms, diagnoses, treatments, and other medically relevant attributes</w:t>
            </w:r>
            <w:r w:rsidR="00E02012">
              <w:rPr>
                <w:rFonts w:ascii="Arial" w:eastAsia="ヒラギノ角ゴ Pro W3" w:hAnsi="Arial"/>
                <w:color w:val="000000"/>
                <w:sz w:val="16"/>
              </w:rPr>
              <w:t>”</w:t>
            </w:r>
            <w:r>
              <w:rPr>
                <w:rFonts w:ascii="Arial" w:eastAsia="ヒラギノ角ゴ Pro W3" w:hAnsi="Arial"/>
                <w:color w:val="000000"/>
                <w:sz w:val="16"/>
              </w:rPr>
              <w:t>. (http://www.healthline.com/aboutus.jsp)</w:t>
            </w:r>
          </w:p>
        </w:tc>
      </w:tr>
      <w:tr w:rsidR="00E20387" w14:paraId="6F743375" w14:textId="77777777" w:rsidTr="004611C1">
        <w:trPr>
          <w:cantSplit/>
          <w:trHeight w:val="206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68" w14:textId="77777777" w:rsidR="00E02012" w:rsidRDefault="00E02012" w:rsidP="00F1758F">
            <w:pPr>
              <w:spacing w:line="360" w:lineRule="auto"/>
              <w:rPr>
                <w:rFonts w:ascii="Arial" w:eastAsia="ヒラギノ角ゴ Pro W3" w:hAnsi="Arial"/>
                <w:color w:val="000000"/>
                <w:sz w:val="16"/>
              </w:rPr>
            </w:pPr>
          </w:p>
          <w:p w14:paraId="6F743369" w14:textId="77777777" w:rsidR="00E20387"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HealthWise</w:t>
            </w:r>
            <w:proofErr w:type="spellEnd"/>
          </w:p>
          <w:p w14:paraId="6F74336A" w14:textId="77777777" w:rsidR="00992691" w:rsidRDefault="00992691" w:rsidP="00F1758F">
            <w:pPr>
              <w:spacing w:line="360" w:lineRule="auto"/>
              <w:rPr>
                <w:rFonts w:ascii="Arial" w:eastAsia="ヒラギノ角ゴ Pro W3" w:hAnsi="Arial"/>
                <w:color w:val="000000"/>
                <w:sz w:val="16"/>
              </w:rPr>
            </w:pPr>
          </w:p>
          <w:p w14:paraId="6F74336B" w14:textId="77777777" w:rsidR="006C052A" w:rsidRDefault="006C052A" w:rsidP="00F1758F">
            <w:pPr>
              <w:spacing w:line="360" w:lineRule="auto"/>
              <w:rPr>
                <w:rFonts w:ascii="Arial" w:hAnsi="Arial" w:cs="Arial"/>
                <w:color w:val="333333"/>
                <w:sz w:val="16"/>
                <w:szCs w:val="16"/>
              </w:rPr>
            </w:pPr>
            <w:r>
              <w:rPr>
                <w:rFonts w:ascii="Arial" w:hAnsi="Arial" w:cs="Arial"/>
                <w:color w:val="333333"/>
                <w:sz w:val="16"/>
                <w:szCs w:val="16"/>
              </w:rPr>
              <w:t>http://www.healthwise.org/</w:t>
            </w:r>
          </w:p>
          <w:p w14:paraId="6F74336C" w14:textId="77777777" w:rsidR="006C052A" w:rsidRDefault="006C052A" w:rsidP="00F1758F">
            <w:pPr>
              <w:spacing w:line="360" w:lineRule="auto"/>
              <w:rPr>
                <w:rFonts w:ascii="Arial" w:eastAsia="ヒラギノ角ゴ Pro W3" w:hAnsi="Arial"/>
                <w:color w:val="000000"/>
                <w:sz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6D" w14:textId="77777777" w:rsidR="00574EDB" w:rsidRDefault="00574EDB" w:rsidP="00F1758F">
            <w:pPr>
              <w:pStyle w:val="ListParagraph"/>
              <w:spacing w:line="360" w:lineRule="auto"/>
              <w:ind w:left="327"/>
              <w:rPr>
                <w:rFonts w:ascii="Arial" w:eastAsia="ヒラギノ角ゴ Pro W3" w:hAnsi="Arial"/>
                <w:color w:val="000000"/>
                <w:sz w:val="16"/>
              </w:rPr>
            </w:pPr>
          </w:p>
          <w:p w14:paraId="6F74336E" w14:textId="77777777" w:rsidR="00574EDB" w:rsidRDefault="00206B21" w:rsidP="00F1758F">
            <w:pPr>
              <w:pStyle w:val="ListParagraph"/>
              <w:numPr>
                <w:ilvl w:val="0"/>
                <w:numId w:val="20"/>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 xml:space="preserve"> </w:t>
            </w:r>
            <w:proofErr w:type="spellStart"/>
            <w:r w:rsidRPr="00206B21">
              <w:rPr>
                <w:rFonts w:ascii="Arial" w:eastAsia="ヒラギノ角ゴ Pro W3" w:hAnsi="Arial"/>
                <w:color w:val="000000"/>
                <w:sz w:val="16"/>
              </w:rPr>
              <w:t>eClinicalWorks</w:t>
            </w:r>
            <w:proofErr w:type="spellEnd"/>
            <w:r w:rsidRPr="00206B21">
              <w:rPr>
                <w:rFonts w:ascii="Arial" w:eastAsia="ヒラギノ角ゴ Pro W3" w:hAnsi="Arial"/>
                <w:color w:val="000000"/>
                <w:sz w:val="16"/>
              </w:rPr>
              <w:t>/</w:t>
            </w:r>
            <w:proofErr w:type="spellStart"/>
            <w:r w:rsidRPr="00206B21">
              <w:rPr>
                <w:rFonts w:ascii="Arial" w:eastAsia="ヒラギノ角ゴ Pro W3" w:hAnsi="Arial"/>
                <w:color w:val="000000"/>
                <w:sz w:val="16"/>
              </w:rPr>
              <w:t>eClinical</w:t>
            </w:r>
            <w:proofErr w:type="spellEnd"/>
            <w:r w:rsidRPr="00206B21">
              <w:rPr>
                <w:rFonts w:ascii="Arial" w:eastAsia="ヒラギノ角ゴ Pro W3" w:hAnsi="Arial"/>
                <w:color w:val="000000"/>
                <w:sz w:val="16"/>
              </w:rPr>
              <w:t xml:space="preserve"> Work</w:t>
            </w:r>
            <w:r w:rsidR="004C301C">
              <w:rPr>
                <w:rFonts w:ascii="Arial" w:eastAsia="ヒラギノ角ゴ Pro W3" w:hAnsi="Arial"/>
                <w:color w:val="000000"/>
                <w:sz w:val="16"/>
              </w:rPr>
              <w:t>s</w:t>
            </w:r>
          </w:p>
          <w:p w14:paraId="6F74336F" w14:textId="4EED9BE1" w:rsidR="00574EDB" w:rsidRDefault="00206B21" w:rsidP="00F1758F">
            <w:pPr>
              <w:pStyle w:val="ListParagraph"/>
              <w:numPr>
                <w:ilvl w:val="0"/>
                <w:numId w:val="20"/>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EPIC</w:t>
            </w:r>
          </w:p>
          <w:p w14:paraId="6F743370" w14:textId="6C7A8BFB" w:rsidR="00574EDB" w:rsidRDefault="00206B21" w:rsidP="00F1758F">
            <w:pPr>
              <w:pStyle w:val="ListParagraph"/>
              <w:numPr>
                <w:ilvl w:val="0"/>
                <w:numId w:val="20"/>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GE Healthcare IT/Centricity Enterpris</w:t>
            </w:r>
            <w:r w:rsidR="004C301C">
              <w:rPr>
                <w:rFonts w:ascii="Arial" w:eastAsia="ヒラギノ角ゴ Pro W3" w:hAnsi="Arial"/>
                <w:color w:val="000000"/>
                <w:sz w:val="16"/>
              </w:rPr>
              <w:t>e</w:t>
            </w:r>
          </w:p>
          <w:p w14:paraId="6F743371" w14:textId="01F4C002" w:rsidR="00574EDB" w:rsidRDefault="00206B21" w:rsidP="00F1758F">
            <w:pPr>
              <w:pStyle w:val="ListParagraph"/>
              <w:numPr>
                <w:ilvl w:val="0"/>
                <w:numId w:val="20"/>
              </w:numPr>
              <w:spacing w:line="360" w:lineRule="auto"/>
              <w:ind w:left="327" w:hanging="180"/>
              <w:rPr>
                <w:rFonts w:ascii="Arial" w:eastAsia="ヒラギノ角ゴ Pro W3" w:hAnsi="Arial"/>
                <w:color w:val="000000"/>
                <w:sz w:val="16"/>
              </w:rPr>
            </w:pPr>
            <w:proofErr w:type="spellStart"/>
            <w:r w:rsidRPr="00206B21">
              <w:rPr>
                <w:rFonts w:ascii="Arial" w:eastAsia="ヒラギノ角ゴ Pro W3" w:hAnsi="Arial"/>
                <w:color w:val="000000"/>
                <w:sz w:val="16"/>
              </w:rPr>
              <w:t>NextGen</w:t>
            </w:r>
            <w:proofErr w:type="spellEnd"/>
            <w:r w:rsidRPr="00206B21">
              <w:rPr>
                <w:rFonts w:ascii="Arial" w:eastAsia="ヒラギノ角ゴ Pro W3" w:hAnsi="Arial"/>
                <w:color w:val="000000"/>
                <w:sz w:val="16"/>
              </w:rPr>
              <w:t xml:space="preserve"> Healthcare/</w:t>
            </w:r>
            <w:proofErr w:type="spellStart"/>
            <w:r w:rsidRPr="00206B21">
              <w:rPr>
                <w:rFonts w:ascii="Arial" w:eastAsia="ヒラギノ角ゴ Pro W3" w:hAnsi="Arial"/>
                <w:color w:val="000000"/>
                <w:sz w:val="16"/>
              </w:rPr>
              <w:t>NextGen</w:t>
            </w:r>
            <w:proofErr w:type="spellEnd"/>
            <w:r w:rsidRPr="00206B21">
              <w:rPr>
                <w:rFonts w:ascii="Arial" w:eastAsia="ヒラギノ角ゴ Pro W3" w:hAnsi="Arial"/>
                <w:color w:val="000000"/>
                <w:sz w:val="16"/>
              </w:rPr>
              <w:t xml:space="preserve"> Ambulatory HER</w:t>
            </w:r>
          </w:p>
          <w:p w14:paraId="6F743372" w14:textId="77777777" w:rsidR="00574EDB" w:rsidRDefault="00206B21" w:rsidP="00F1758F">
            <w:pPr>
              <w:pStyle w:val="ListParagraph"/>
              <w:numPr>
                <w:ilvl w:val="0"/>
                <w:numId w:val="20"/>
              </w:numPr>
              <w:spacing w:line="360" w:lineRule="auto"/>
              <w:ind w:left="327" w:hanging="180"/>
              <w:rPr>
                <w:rFonts w:ascii="Arial" w:eastAsia="ヒラギノ角ゴ Pro W3" w:hAnsi="Arial"/>
                <w:color w:val="000000"/>
                <w:sz w:val="16"/>
              </w:rPr>
            </w:pPr>
            <w:proofErr w:type="spellStart"/>
            <w:r w:rsidRPr="00206B21">
              <w:rPr>
                <w:rFonts w:ascii="Arial" w:eastAsia="ヒラギノ角ゴ Pro W3" w:hAnsi="Arial"/>
                <w:color w:val="000000"/>
                <w:sz w:val="16"/>
              </w:rPr>
              <w:t>athenahealth</w:t>
            </w:r>
            <w:proofErr w:type="spellEnd"/>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73" w14:textId="77777777" w:rsidR="00E02012" w:rsidRDefault="00E02012" w:rsidP="00F1758F">
            <w:pPr>
              <w:spacing w:line="360" w:lineRule="auto"/>
              <w:rPr>
                <w:rFonts w:ascii="Arial" w:eastAsia="ヒラギノ角ゴ Pro W3" w:hAnsi="Arial"/>
                <w:sz w:val="16"/>
              </w:rPr>
            </w:pPr>
          </w:p>
          <w:p w14:paraId="6F743374" w14:textId="77777777" w:rsidR="00574EDB" w:rsidRDefault="00E20387" w:rsidP="00F1758F">
            <w:pPr>
              <w:spacing w:line="360" w:lineRule="auto"/>
              <w:rPr>
                <w:rFonts w:ascii="Arial" w:eastAsia="ヒラギノ角ゴ Pro W3" w:hAnsi="Arial"/>
                <w:sz w:val="16"/>
              </w:rPr>
            </w:pPr>
            <w:proofErr w:type="spellStart"/>
            <w:r>
              <w:rPr>
                <w:rFonts w:ascii="Arial" w:eastAsia="ヒラギノ角ゴ Pro W3" w:hAnsi="Arial"/>
                <w:sz w:val="16"/>
              </w:rPr>
              <w:t>Healthwise</w:t>
            </w:r>
            <w:proofErr w:type="spellEnd"/>
            <w:r>
              <w:rPr>
                <w:rFonts w:ascii="Arial" w:eastAsia="ヒラギノ角ゴ Pro W3" w:hAnsi="Arial"/>
                <w:sz w:val="16"/>
              </w:rPr>
              <w:t xml:space="preserve">® is a nonprofit organization </w:t>
            </w:r>
            <w:r w:rsidR="004611C1">
              <w:rPr>
                <w:rFonts w:ascii="Arial" w:eastAsia="ヒラギノ角ゴ Pro W3" w:hAnsi="Arial"/>
                <w:sz w:val="16"/>
              </w:rPr>
              <w:t xml:space="preserve">that creates health content and patient education materials. </w:t>
            </w:r>
            <w:proofErr w:type="spellStart"/>
            <w:r w:rsidR="004611C1">
              <w:rPr>
                <w:rFonts w:ascii="Arial" w:eastAsia="ヒラギノ角ゴ Pro W3" w:hAnsi="Arial"/>
                <w:sz w:val="16"/>
              </w:rPr>
              <w:t>Healthwise</w:t>
            </w:r>
            <w:proofErr w:type="spellEnd"/>
            <w:r w:rsidR="004611C1">
              <w:rPr>
                <w:rFonts w:ascii="Arial" w:eastAsia="ヒラギノ角ゴ Pro W3" w:hAnsi="Arial"/>
                <w:sz w:val="16"/>
              </w:rPr>
              <w:t xml:space="preserve"> began in 1975 and provides evidence-based information that they create through their content development and medical review processes. Products include the Knowledgebase health encyclopedia, multimedia and interactive programs, a handbook, and mobile content. </w:t>
            </w:r>
          </w:p>
        </w:tc>
      </w:tr>
      <w:tr w:rsidR="00E20387" w14:paraId="6F743381" w14:textId="77777777" w:rsidTr="006958C3">
        <w:trPr>
          <w:cantSplit/>
          <w:trHeight w:val="188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76" w14:textId="77777777" w:rsidR="006958C3" w:rsidRDefault="006958C3" w:rsidP="00F1758F">
            <w:pPr>
              <w:spacing w:line="360" w:lineRule="auto"/>
              <w:rPr>
                <w:rFonts w:ascii="Arial" w:eastAsia="ヒラギノ角ゴ Pro W3" w:hAnsi="Arial"/>
                <w:color w:val="000000"/>
                <w:sz w:val="16"/>
              </w:rPr>
            </w:pPr>
          </w:p>
          <w:p w14:paraId="6F743377" w14:textId="77777777" w:rsidR="00E20387"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Krames</w:t>
            </w:r>
            <w:proofErr w:type="spellEnd"/>
          </w:p>
          <w:p w14:paraId="6F743378" w14:textId="77777777" w:rsidR="00992691" w:rsidRDefault="00992691" w:rsidP="00F1758F">
            <w:pPr>
              <w:spacing w:line="360" w:lineRule="auto"/>
              <w:rPr>
                <w:rFonts w:ascii="Arial" w:eastAsia="ヒラギノ角ゴ Pro W3" w:hAnsi="Arial"/>
                <w:color w:val="000000"/>
                <w:sz w:val="16"/>
              </w:rPr>
            </w:pPr>
          </w:p>
          <w:p w14:paraId="6F743379" w14:textId="77777777" w:rsidR="006C052A" w:rsidRPr="00321EE7" w:rsidRDefault="00992691" w:rsidP="00F1758F">
            <w:pPr>
              <w:spacing w:line="360" w:lineRule="auto"/>
              <w:rPr>
                <w:rFonts w:ascii="Arial" w:hAnsi="Arial" w:cs="Arial"/>
                <w:sz w:val="16"/>
                <w:szCs w:val="16"/>
              </w:rPr>
            </w:pPr>
            <w:r w:rsidRPr="00321EE7">
              <w:rPr>
                <w:rFonts w:ascii="Arial" w:hAnsi="Arial" w:cs="Arial"/>
                <w:sz w:val="16"/>
                <w:szCs w:val="16"/>
              </w:rPr>
              <w:t>http://www.krames.com</w:t>
            </w:r>
          </w:p>
          <w:p w14:paraId="6F74337A" w14:textId="77777777" w:rsidR="006C052A" w:rsidRDefault="006C052A" w:rsidP="00F1758F">
            <w:pPr>
              <w:spacing w:line="360" w:lineRule="auto"/>
              <w:rPr>
                <w:rFonts w:ascii="Arial" w:eastAsia="ヒラギノ角ゴ Pro W3" w:hAnsi="Arial"/>
                <w:color w:val="000000"/>
                <w:sz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7B" w14:textId="77777777" w:rsidR="00574EDB" w:rsidRDefault="00574EDB" w:rsidP="00F1758F">
            <w:pPr>
              <w:pStyle w:val="ListParagraph"/>
              <w:spacing w:line="360" w:lineRule="auto"/>
              <w:ind w:left="327"/>
              <w:rPr>
                <w:rFonts w:ascii="Arial" w:eastAsia="ヒラギノ角ゴ Pro W3" w:hAnsi="Arial"/>
                <w:color w:val="000000"/>
                <w:sz w:val="16"/>
              </w:rPr>
            </w:pPr>
          </w:p>
          <w:p w14:paraId="6F74337C" w14:textId="77777777" w:rsidR="00574EDB" w:rsidRDefault="00206B21" w:rsidP="00F1758F">
            <w:pPr>
              <w:pStyle w:val="ListParagraph"/>
              <w:numPr>
                <w:ilvl w:val="0"/>
                <w:numId w:val="21"/>
              </w:numPr>
              <w:spacing w:line="360" w:lineRule="auto"/>
              <w:ind w:left="327" w:hanging="180"/>
              <w:rPr>
                <w:rFonts w:ascii="Arial" w:eastAsia="ヒラギノ角ゴ Pro W3" w:hAnsi="Arial"/>
                <w:color w:val="000000"/>
                <w:sz w:val="16"/>
              </w:rPr>
            </w:pPr>
            <w:proofErr w:type="spellStart"/>
            <w:r w:rsidRPr="00206B21">
              <w:rPr>
                <w:rFonts w:ascii="Arial" w:eastAsia="ヒラギノ角ゴ Pro W3" w:hAnsi="Arial"/>
                <w:color w:val="000000"/>
                <w:sz w:val="16"/>
              </w:rPr>
              <w:t>eClinicalWorks</w:t>
            </w:r>
            <w:proofErr w:type="spellEnd"/>
            <w:r w:rsidRPr="00206B21">
              <w:rPr>
                <w:rFonts w:ascii="Arial" w:eastAsia="ヒラギノ角ゴ Pro W3" w:hAnsi="Arial"/>
                <w:color w:val="000000"/>
                <w:sz w:val="16"/>
              </w:rPr>
              <w:t>/</w:t>
            </w:r>
            <w:proofErr w:type="spellStart"/>
            <w:r w:rsidRPr="00206B21">
              <w:rPr>
                <w:rFonts w:ascii="Arial" w:eastAsia="ヒラギノ角ゴ Pro W3" w:hAnsi="Arial"/>
                <w:color w:val="000000"/>
                <w:sz w:val="16"/>
              </w:rPr>
              <w:t>eClinicalWorks</w:t>
            </w:r>
            <w:proofErr w:type="spellEnd"/>
            <w:r w:rsidRPr="00206B21">
              <w:rPr>
                <w:rFonts w:ascii="Arial" w:hAnsi="Arial"/>
                <w:sz w:val="16"/>
              </w:rPr>
              <w:t xml:space="preserve"> </w:t>
            </w:r>
          </w:p>
          <w:p w14:paraId="6F74337D" w14:textId="2576CF1D" w:rsidR="00574EDB" w:rsidRDefault="00206B21" w:rsidP="00F1758F">
            <w:pPr>
              <w:pStyle w:val="ListParagraph"/>
              <w:numPr>
                <w:ilvl w:val="0"/>
                <w:numId w:val="21"/>
              </w:numPr>
              <w:spacing w:line="360" w:lineRule="auto"/>
              <w:ind w:left="327" w:hanging="180"/>
              <w:rPr>
                <w:rFonts w:ascii="Arial" w:eastAsia="ヒラギノ角ゴ Pro W3" w:hAnsi="Arial"/>
                <w:color w:val="000000"/>
                <w:sz w:val="16"/>
              </w:rPr>
            </w:pPr>
            <w:proofErr w:type="spellStart"/>
            <w:r w:rsidRPr="00206B21">
              <w:rPr>
                <w:rFonts w:ascii="Arial" w:eastAsia="ヒラギノ角ゴ Pro W3" w:hAnsi="Arial"/>
                <w:color w:val="000000"/>
                <w:sz w:val="16"/>
              </w:rPr>
              <w:t>Ingenix</w:t>
            </w:r>
            <w:proofErr w:type="spellEnd"/>
            <w:r w:rsidRPr="00206B21">
              <w:rPr>
                <w:rFonts w:ascii="Arial" w:eastAsia="ヒラギノ角ゴ Pro W3" w:hAnsi="Arial"/>
                <w:color w:val="000000"/>
                <w:sz w:val="16"/>
              </w:rPr>
              <w:t>/</w:t>
            </w:r>
            <w:proofErr w:type="spellStart"/>
            <w:r w:rsidRPr="00206B21">
              <w:rPr>
                <w:rFonts w:ascii="Arial" w:eastAsia="ヒラギノ角ゴ Pro W3" w:hAnsi="Arial"/>
                <w:color w:val="000000"/>
                <w:sz w:val="16"/>
              </w:rPr>
              <w:t>Ingenix</w:t>
            </w:r>
            <w:proofErr w:type="spellEnd"/>
            <w:r w:rsidRPr="00206B21">
              <w:rPr>
                <w:rFonts w:ascii="Arial" w:eastAsia="ヒラギノ角ゴ Pro W3" w:hAnsi="Arial"/>
                <w:color w:val="000000"/>
                <w:sz w:val="16"/>
              </w:rPr>
              <w:t xml:space="preserve"> Care Tracker</w:t>
            </w:r>
          </w:p>
          <w:p w14:paraId="6F74337E" w14:textId="77777777" w:rsidR="00574EDB" w:rsidRDefault="00206B21" w:rsidP="00F1758F">
            <w:pPr>
              <w:pStyle w:val="ListParagraph"/>
              <w:numPr>
                <w:ilvl w:val="0"/>
                <w:numId w:val="21"/>
              </w:numPr>
              <w:spacing w:line="360" w:lineRule="auto"/>
              <w:ind w:left="327" w:hanging="180"/>
              <w:rPr>
                <w:rFonts w:ascii="Arial" w:eastAsia="ヒラギノ角ゴ Pro W3" w:hAnsi="Arial"/>
                <w:color w:val="000000"/>
                <w:sz w:val="16"/>
              </w:rPr>
            </w:pPr>
            <w:r w:rsidRPr="00206B21">
              <w:rPr>
                <w:rFonts w:ascii="Arial" w:eastAsia="ヒラギノ角ゴ Pro W3" w:hAnsi="Arial"/>
                <w:color w:val="000000"/>
                <w:sz w:val="16"/>
              </w:rPr>
              <w:t>MEDHOST/EDIS (</w:t>
            </w:r>
            <w:proofErr w:type="spellStart"/>
            <w:r w:rsidRPr="00206B21">
              <w:rPr>
                <w:rFonts w:ascii="Arial" w:eastAsia="ヒラギノ角ゴ Pro W3" w:hAnsi="Arial"/>
                <w:color w:val="000000"/>
                <w:sz w:val="16"/>
              </w:rPr>
              <w:t>ExitWriter</w:t>
            </w:r>
            <w:proofErr w:type="spellEnd"/>
            <w:r w:rsidRPr="00206B21">
              <w:rPr>
                <w:rFonts w:ascii="Arial" w:eastAsia="ヒラギノ角ゴ Pro W3" w:hAnsi="Arial"/>
                <w:color w:val="000000"/>
                <w:sz w:val="16"/>
              </w:rPr>
              <w:t>)</w:t>
            </w:r>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7F" w14:textId="77777777" w:rsidR="006958C3" w:rsidRDefault="006958C3" w:rsidP="00F1758F">
            <w:pPr>
              <w:spacing w:line="360" w:lineRule="auto"/>
              <w:rPr>
                <w:rFonts w:ascii="Arial" w:eastAsia="ヒラギノ角ゴ Pro W3" w:hAnsi="Arial"/>
                <w:color w:val="000000"/>
                <w:sz w:val="16"/>
              </w:rPr>
            </w:pPr>
          </w:p>
          <w:p w14:paraId="6F743380" w14:textId="77777777" w:rsidR="00574EDB"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 xml:space="preserve"> </w:t>
            </w:r>
            <w:proofErr w:type="gramStart"/>
            <w:r>
              <w:rPr>
                <w:rFonts w:ascii="Arial" w:eastAsia="ヒラギノ角ゴ Pro W3" w:hAnsi="Arial"/>
                <w:color w:val="000000"/>
                <w:sz w:val="16"/>
              </w:rPr>
              <w:t>provider</w:t>
            </w:r>
            <w:r w:rsidR="006958C3">
              <w:rPr>
                <w:rFonts w:ascii="Arial" w:eastAsia="ヒラギノ角ゴ Pro W3" w:hAnsi="Arial"/>
                <w:color w:val="000000"/>
                <w:sz w:val="16"/>
              </w:rPr>
              <w:t>s</w:t>
            </w:r>
            <w:proofErr w:type="gramEnd"/>
            <w:r w:rsidR="006958C3">
              <w:rPr>
                <w:rFonts w:ascii="Arial" w:eastAsia="ヒラギノ角ゴ Pro W3" w:hAnsi="Arial"/>
                <w:color w:val="000000"/>
                <w:sz w:val="16"/>
              </w:rPr>
              <w:t xml:space="preserve"> </w:t>
            </w:r>
            <w:r>
              <w:rPr>
                <w:rFonts w:ascii="Arial" w:eastAsia="ヒラギノ角ゴ Pro W3" w:hAnsi="Arial"/>
                <w:color w:val="000000"/>
                <w:sz w:val="16"/>
              </w:rPr>
              <w:t>patient education materials, products, and services. Products include: 1500+ patient education print produ</w:t>
            </w:r>
            <w:r w:rsidR="006958C3">
              <w:rPr>
                <w:rFonts w:ascii="Arial" w:eastAsia="ヒラギノ角ゴ Pro W3" w:hAnsi="Arial"/>
                <w:color w:val="000000"/>
                <w:sz w:val="16"/>
              </w:rPr>
              <w:t>c</w:t>
            </w:r>
            <w:r>
              <w:rPr>
                <w:rFonts w:ascii="Arial" w:eastAsia="ヒラギノ角ゴ Pro W3" w:hAnsi="Arial"/>
                <w:color w:val="000000"/>
                <w:sz w:val="16"/>
              </w:rPr>
              <w:t>ts</w:t>
            </w:r>
            <w:r w:rsidR="006958C3">
              <w:rPr>
                <w:rFonts w:ascii="Arial" w:eastAsia="ヒラギノ角ゴ Pro W3" w:hAnsi="Arial"/>
                <w:color w:val="000000"/>
                <w:sz w:val="16"/>
              </w:rPr>
              <w:t xml:space="preserve"> (handouts)</w:t>
            </w:r>
            <w:r>
              <w:rPr>
                <w:rFonts w:ascii="Arial" w:eastAsia="ヒラギノ角ゴ Pro W3" w:hAnsi="Arial"/>
                <w:color w:val="000000"/>
                <w:sz w:val="16"/>
              </w:rPr>
              <w:t xml:space="preserve">, 400+ health education DVDs, </w:t>
            </w: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 xml:space="preserve"> On-Demand®, </w:t>
            </w: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 xml:space="preserve"> </w:t>
            </w:r>
            <w:proofErr w:type="spellStart"/>
            <w:r>
              <w:rPr>
                <w:rFonts w:ascii="Arial" w:eastAsia="ヒラギノ角ゴ Pro W3" w:hAnsi="Arial"/>
                <w:color w:val="000000"/>
                <w:sz w:val="16"/>
              </w:rPr>
              <w:t>Online</w:t>
            </w:r>
            <w:r>
              <w:rPr>
                <w:rFonts w:ascii="Arial" w:eastAsia="ヒラギノ角ゴ Pro W3" w:hAnsi="Arial"/>
                <w:color w:val="000000"/>
                <w:sz w:val="16"/>
                <w:vertAlign w:val="superscript"/>
              </w:rPr>
              <w:t>TM</w:t>
            </w:r>
            <w:proofErr w:type="spellEnd"/>
            <w:r>
              <w:rPr>
                <w:rFonts w:ascii="Arial" w:eastAsia="ヒラギノ角ゴ Pro W3" w:hAnsi="Arial"/>
                <w:color w:val="000000"/>
                <w:sz w:val="16"/>
              </w:rPr>
              <w:t xml:space="preserve">, </w:t>
            </w: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 xml:space="preserve"> Exit-Writer®, </w:t>
            </w: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 xml:space="preserve"> Go-to-</w:t>
            </w:r>
            <w:proofErr w:type="spellStart"/>
            <w:r>
              <w:rPr>
                <w:rFonts w:ascii="Arial" w:eastAsia="ヒラギノ角ゴ Pro W3" w:hAnsi="Arial"/>
                <w:color w:val="000000"/>
                <w:sz w:val="16"/>
              </w:rPr>
              <w:t>GuidesTM</w:t>
            </w:r>
            <w:proofErr w:type="spellEnd"/>
            <w:r>
              <w:rPr>
                <w:rFonts w:ascii="Arial" w:eastAsia="ヒラギノ角ゴ Pro W3" w:hAnsi="Arial"/>
                <w:color w:val="000000"/>
                <w:sz w:val="16"/>
              </w:rPr>
              <w:t xml:space="preserve">, </w:t>
            </w: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 xml:space="preserve"> Patient </w:t>
            </w:r>
            <w:proofErr w:type="spellStart"/>
            <w:r>
              <w:rPr>
                <w:rFonts w:ascii="Arial" w:eastAsia="ヒラギノ角ゴ Pro W3" w:hAnsi="Arial"/>
                <w:color w:val="000000"/>
                <w:sz w:val="16"/>
              </w:rPr>
              <w:t>ConsentTM</w:t>
            </w:r>
            <w:proofErr w:type="spellEnd"/>
            <w:r>
              <w:rPr>
                <w:rFonts w:ascii="Arial" w:eastAsia="ヒラギノ角ゴ Pro W3" w:hAnsi="Arial"/>
                <w:color w:val="000000"/>
                <w:sz w:val="16"/>
              </w:rPr>
              <w:t xml:space="preserve">, </w:t>
            </w:r>
            <w:r w:rsidR="006958C3">
              <w:rPr>
                <w:rFonts w:ascii="Arial" w:eastAsia="ヒラギノ角ゴ Pro W3" w:hAnsi="Arial"/>
                <w:color w:val="000000"/>
                <w:sz w:val="16"/>
              </w:rPr>
              <w:t xml:space="preserve">and </w:t>
            </w: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 xml:space="preserve"> </w:t>
            </w:r>
            <w:proofErr w:type="spellStart"/>
            <w:r>
              <w:rPr>
                <w:rFonts w:ascii="Arial" w:eastAsia="ヒラギノ角ゴ Pro W3" w:hAnsi="Arial"/>
                <w:color w:val="000000"/>
                <w:sz w:val="16"/>
              </w:rPr>
              <w:t>WebConnect</w:t>
            </w:r>
            <w:proofErr w:type="spellEnd"/>
            <w:r w:rsidR="006958C3">
              <w:rPr>
                <w:rFonts w:ascii="Arial" w:eastAsia="ヒラギノ角ゴ Pro W3" w:hAnsi="Arial"/>
                <w:color w:val="000000"/>
                <w:sz w:val="16"/>
              </w:rPr>
              <w:t>.</w:t>
            </w:r>
          </w:p>
        </w:tc>
      </w:tr>
      <w:tr w:rsidR="00E20387" w14:paraId="6F74338A" w14:textId="77777777" w:rsidTr="00FE1CC2">
        <w:trPr>
          <w:cantSplit/>
          <w:trHeight w:val="287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82" w14:textId="77777777" w:rsidR="00F94C57" w:rsidRDefault="00F94C57" w:rsidP="00F1758F">
            <w:pPr>
              <w:spacing w:line="360" w:lineRule="auto"/>
              <w:rPr>
                <w:rFonts w:ascii="Arial" w:eastAsia="ヒラギノ角ゴ Pro W3" w:hAnsi="Arial"/>
                <w:color w:val="000000"/>
                <w:sz w:val="16"/>
              </w:rPr>
            </w:pPr>
          </w:p>
          <w:p w14:paraId="6F743383" w14:textId="77777777" w:rsidR="00E20387"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Micromedex/Thomson Reuters</w:t>
            </w:r>
          </w:p>
          <w:p w14:paraId="6F743384" w14:textId="77777777" w:rsidR="00992691" w:rsidRDefault="00992691" w:rsidP="00F1758F">
            <w:pPr>
              <w:spacing w:line="360" w:lineRule="auto"/>
              <w:rPr>
                <w:rFonts w:ascii="Arial" w:eastAsia="ヒラギノ角ゴ Pro W3" w:hAnsi="Arial"/>
                <w:color w:val="000000"/>
                <w:sz w:val="16"/>
              </w:rPr>
            </w:pPr>
          </w:p>
          <w:p w14:paraId="6F743385" w14:textId="77777777" w:rsidR="006C052A" w:rsidRDefault="006C052A" w:rsidP="00F1758F">
            <w:pPr>
              <w:spacing w:line="360" w:lineRule="auto"/>
              <w:rPr>
                <w:rFonts w:ascii="Arial" w:eastAsia="ヒラギノ角ゴ Pro W3" w:hAnsi="Arial"/>
                <w:color w:val="000000"/>
                <w:sz w:val="16"/>
              </w:rPr>
            </w:pPr>
            <w:r w:rsidRPr="006C052A">
              <w:rPr>
                <w:rFonts w:ascii="Arial" w:eastAsia="ヒラギノ角ゴ Pro W3" w:hAnsi="Arial"/>
                <w:color w:val="000000"/>
                <w:sz w:val="16"/>
              </w:rPr>
              <w:t>http://interest.healthcare.thomsonreuters.com/content/GAW-PatientEd</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86" w14:textId="77777777" w:rsidR="00574EDB" w:rsidRDefault="00574EDB" w:rsidP="00F1758F">
            <w:pPr>
              <w:spacing w:line="360" w:lineRule="auto"/>
              <w:rPr>
                <w:rFonts w:ascii="Arial" w:eastAsia="ヒラギノ角ゴ Pro W3" w:hAnsi="Arial"/>
                <w:color w:val="000000"/>
                <w:sz w:val="16"/>
              </w:rPr>
            </w:pPr>
          </w:p>
          <w:p w14:paraId="6F743387" w14:textId="77777777" w:rsidR="00574EDB" w:rsidRDefault="00E20387" w:rsidP="00F1758F">
            <w:pPr>
              <w:spacing w:line="360" w:lineRule="auto"/>
              <w:ind w:firstLine="147"/>
              <w:rPr>
                <w:rFonts w:ascii="Arial" w:eastAsia="ヒラギノ角ゴ Pro W3" w:hAnsi="Arial"/>
                <w:color w:val="000000"/>
                <w:sz w:val="16"/>
              </w:rPr>
            </w:pPr>
            <w:r>
              <w:rPr>
                <w:rFonts w:ascii="Arial" w:eastAsia="ヒラギノ角ゴ Pro W3" w:hAnsi="Arial"/>
                <w:color w:val="000000"/>
                <w:sz w:val="16"/>
              </w:rPr>
              <w:t>1. CPSI/CPSI</w:t>
            </w:r>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88" w14:textId="77777777" w:rsidR="00F94C57" w:rsidRDefault="00F94C57" w:rsidP="00F1758F">
            <w:pPr>
              <w:spacing w:line="360" w:lineRule="auto"/>
              <w:rPr>
                <w:rFonts w:ascii="Arial" w:eastAsia="ヒラギノ角ゴ Pro W3" w:hAnsi="Arial"/>
                <w:color w:val="000000"/>
                <w:sz w:val="16"/>
                <w:u w:val="single"/>
              </w:rPr>
            </w:pPr>
          </w:p>
          <w:p w14:paraId="6F743389" w14:textId="77777777" w:rsidR="00574EDB" w:rsidRDefault="00206B21" w:rsidP="00F1758F">
            <w:pPr>
              <w:spacing w:line="360" w:lineRule="auto"/>
              <w:rPr>
                <w:rFonts w:ascii="Arial" w:eastAsia="ヒラギノ角ゴ Pro W3" w:hAnsi="Arial"/>
                <w:color w:val="000000"/>
                <w:sz w:val="16"/>
              </w:rPr>
            </w:pPr>
            <w:r w:rsidRPr="00206B21">
              <w:rPr>
                <w:rFonts w:ascii="Arial" w:eastAsia="ヒラギノ角ゴ Pro W3" w:hAnsi="Arial"/>
                <w:color w:val="000000"/>
                <w:sz w:val="16"/>
              </w:rPr>
              <w:t>Micromedex provides the patient education product</w:t>
            </w:r>
            <w:r w:rsidR="00A8576D">
              <w:rPr>
                <w:rFonts w:ascii="Arial" w:eastAsia="ヒラギノ角ゴ Pro W3" w:hAnsi="Arial"/>
                <w:color w:val="000000"/>
                <w:sz w:val="16"/>
              </w:rPr>
              <w:t>s</w:t>
            </w:r>
            <w:r w:rsidRPr="00206B21">
              <w:rPr>
                <w:rFonts w:ascii="Arial" w:eastAsia="ヒラギノ角ゴ Pro W3" w:hAnsi="Arial"/>
                <w:color w:val="000000"/>
                <w:sz w:val="16"/>
              </w:rPr>
              <w:t xml:space="preserve"> </w:t>
            </w:r>
            <w:proofErr w:type="spellStart"/>
            <w:r w:rsidRPr="00206B21">
              <w:rPr>
                <w:rFonts w:ascii="Arial" w:eastAsia="ヒラギノ角ゴ Pro W3" w:hAnsi="Arial"/>
                <w:color w:val="000000"/>
                <w:sz w:val="16"/>
              </w:rPr>
              <w:t>Carenotes</w:t>
            </w:r>
            <w:proofErr w:type="spellEnd"/>
            <w:r w:rsidR="00A8576D">
              <w:rPr>
                <w:rFonts w:ascii="Arial" w:eastAsia="ヒラギノ角ゴ Pro W3" w:hAnsi="Arial"/>
                <w:color w:val="000000"/>
                <w:sz w:val="16"/>
              </w:rPr>
              <w:t xml:space="preserve"> and Consumer Health Solution</w:t>
            </w:r>
            <w:r w:rsidRPr="00206B21">
              <w:rPr>
                <w:rFonts w:ascii="Arial" w:eastAsia="ヒラギノ角ゴ Pro W3" w:hAnsi="Arial"/>
                <w:color w:val="000000"/>
                <w:sz w:val="16"/>
              </w:rPr>
              <w:t xml:space="preserve">. </w:t>
            </w:r>
            <w:proofErr w:type="spellStart"/>
            <w:r w:rsidRPr="00206B21">
              <w:rPr>
                <w:rFonts w:ascii="Arial" w:eastAsia="ヒラギノ角ゴ Pro W3" w:hAnsi="Arial"/>
                <w:color w:val="000000"/>
                <w:sz w:val="16"/>
              </w:rPr>
              <w:t>Carenotes</w:t>
            </w:r>
            <w:proofErr w:type="spellEnd"/>
            <w:r w:rsidR="00A8576D">
              <w:rPr>
                <w:rFonts w:ascii="Arial" w:eastAsia="ヒラギノ角ゴ Pro W3" w:hAnsi="Arial"/>
                <w:color w:val="000000"/>
                <w:sz w:val="16"/>
              </w:rPr>
              <w:t xml:space="preserve"> allows providers to c</w:t>
            </w:r>
            <w:r w:rsidR="00E20387">
              <w:rPr>
                <w:rFonts w:ascii="Arial" w:eastAsia="ヒラギノ角ゴ Pro W3" w:hAnsi="Arial"/>
                <w:color w:val="000000"/>
                <w:sz w:val="16"/>
              </w:rPr>
              <w:t xml:space="preserve">ustomize, print, and hand out nearly 7,000 documents </w:t>
            </w:r>
            <w:r w:rsidR="00A8576D">
              <w:rPr>
                <w:rFonts w:ascii="Arial" w:eastAsia="ヒラギノ角ゴ Pro W3" w:hAnsi="Arial"/>
                <w:color w:val="000000"/>
                <w:sz w:val="16"/>
              </w:rPr>
              <w:t>on health conditions and instructions and “c</w:t>
            </w:r>
            <w:r w:rsidR="00E20387">
              <w:rPr>
                <w:rFonts w:ascii="Arial" w:eastAsia="ヒラギノ角ゴ Pro W3" w:hAnsi="Arial"/>
                <w:color w:val="000000"/>
                <w:sz w:val="16"/>
              </w:rPr>
              <w:t xml:space="preserve">over </w:t>
            </w:r>
            <w:r w:rsidR="00A8576D">
              <w:rPr>
                <w:rFonts w:ascii="Arial" w:eastAsia="ヒラギノ角ゴ Pro W3" w:hAnsi="Arial"/>
                <w:color w:val="000000"/>
                <w:sz w:val="16"/>
              </w:rPr>
              <w:t>…</w:t>
            </w:r>
            <w:r w:rsidR="00E20387">
              <w:rPr>
                <w:rFonts w:ascii="Arial" w:eastAsia="ヒラギノ角ゴ Pro W3" w:hAnsi="Arial"/>
                <w:color w:val="000000"/>
                <w:sz w:val="16"/>
              </w:rPr>
              <w:t xml:space="preserve"> conditions and procedures, lab tests to drugs to continuing health</w:t>
            </w:r>
            <w:r w:rsidR="00A8576D">
              <w:rPr>
                <w:rFonts w:ascii="Arial" w:eastAsia="ヒラギノ角ゴ Pro W3" w:hAnsi="Arial"/>
                <w:color w:val="000000"/>
                <w:sz w:val="16"/>
              </w:rPr>
              <w:t>”</w:t>
            </w:r>
            <w:r w:rsidR="00E20387">
              <w:rPr>
                <w:rFonts w:ascii="Arial" w:eastAsia="ヒラギノ角ゴ Pro W3" w:hAnsi="Arial"/>
                <w:color w:val="000000"/>
                <w:sz w:val="16"/>
              </w:rPr>
              <w:t>.</w:t>
            </w:r>
            <w:r w:rsidR="00A8576D">
              <w:rPr>
                <w:rFonts w:ascii="Arial" w:eastAsia="ヒラギノ角ゴ Pro W3" w:hAnsi="Arial"/>
                <w:color w:val="000000"/>
                <w:sz w:val="16"/>
              </w:rPr>
              <w:t xml:space="preserve"> Multiple languages are available. </w:t>
            </w:r>
            <w:r w:rsidR="00E20387">
              <w:rPr>
                <w:rFonts w:ascii="Arial" w:eastAsia="ヒラギノ角ゴ Pro W3" w:hAnsi="Arial"/>
                <w:color w:val="000000"/>
                <w:sz w:val="16"/>
              </w:rPr>
              <w:t xml:space="preserve"> Consumer Health Solution </w:t>
            </w:r>
            <w:r w:rsidR="00A8576D">
              <w:rPr>
                <w:rFonts w:ascii="Arial" w:eastAsia="ヒラギノ角ゴ Pro W3" w:hAnsi="Arial"/>
                <w:color w:val="000000"/>
                <w:sz w:val="16"/>
              </w:rPr>
              <w:t>provides “Web</w:t>
            </w:r>
            <w:r w:rsidR="00E20387">
              <w:rPr>
                <w:rFonts w:ascii="Arial" w:eastAsia="ヒラギノ角ゴ Pro W3" w:hAnsi="Arial"/>
                <w:color w:val="000000"/>
                <w:sz w:val="16"/>
              </w:rPr>
              <w:t>-based patient education tools and features award-winning content from A.D.A.M. Inc. The frequently updated content is consistent with Micromedex drug and lab information and is presented in English and Spanish</w:t>
            </w:r>
            <w:r w:rsidR="00A8576D">
              <w:rPr>
                <w:rFonts w:ascii="Arial" w:eastAsia="ヒラギノ角ゴ Pro W3" w:hAnsi="Arial"/>
                <w:color w:val="000000"/>
                <w:sz w:val="16"/>
              </w:rPr>
              <w:t>”</w:t>
            </w:r>
            <w:r w:rsidR="00E20387">
              <w:rPr>
                <w:rFonts w:ascii="Arial" w:eastAsia="ヒラギノ角ゴ Pro W3" w:hAnsi="Arial"/>
                <w:color w:val="000000"/>
                <w:sz w:val="16"/>
              </w:rPr>
              <w:t xml:space="preserve">. </w:t>
            </w:r>
          </w:p>
        </w:tc>
      </w:tr>
      <w:tr w:rsidR="00E20387" w14:paraId="6F743394" w14:textId="77777777" w:rsidTr="00FE1CC2">
        <w:trPr>
          <w:cantSplit/>
          <w:trHeight w:val="179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8B" w14:textId="77777777" w:rsidR="00650C40" w:rsidRDefault="00650C40" w:rsidP="00F1758F">
            <w:pPr>
              <w:spacing w:line="360" w:lineRule="auto"/>
              <w:rPr>
                <w:rFonts w:ascii="Arial" w:eastAsia="ヒラギノ角ゴ Pro W3" w:hAnsi="Arial"/>
                <w:color w:val="000000"/>
                <w:sz w:val="16"/>
              </w:rPr>
            </w:pPr>
          </w:p>
          <w:p w14:paraId="6F74338C" w14:textId="77777777" w:rsidR="00E20387" w:rsidRDefault="00E20387" w:rsidP="00F1758F">
            <w:pPr>
              <w:spacing w:line="360" w:lineRule="auto"/>
              <w:rPr>
                <w:rFonts w:ascii="Arial" w:eastAsia="ヒラギノ角ゴ Pro W3" w:hAnsi="Arial"/>
                <w:color w:val="000000"/>
                <w:sz w:val="16"/>
              </w:rPr>
            </w:pPr>
            <w:proofErr w:type="spellStart"/>
            <w:r>
              <w:rPr>
                <w:rFonts w:ascii="Arial" w:eastAsia="ヒラギノ角ゴ Pro W3" w:hAnsi="Arial"/>
                <w:color w:val="000000"/>
                <w:sz w:val="16"/>
              </w:rPr>
              <w:t>UpToDate</w:t>
            </w:r>
            <w:proofErr w:type="spellEnd"/>
            <w:r w:rsidR="00992691">
              <w:rPr>
                <w:rFonts w:ascii="Arial" w:eastAsia="ヒラギノ角ゴ Pro W3" w:hAnsi="Arial"/>
                <w:color w:val="000000"/>
                <w:sz w:val="16"/>
              </w:rPr>
              <w:t xml:space="preserve"> (Wolters Kluwer)</w:t>
            </w:r>
          </w:p>
          <w:p w14:paraId="6F74338D" w14:textId="77777777" w:rsidR="00992691" w:rsidRDefault="00992691" w:rsidP="00F1758F">
            <w:pPr>
              <w:spacing w:line="360" w:lineRule="auto"/>
              <w:rPr>
                <w:rFonts w:ascii="Arial" w:eastAsia="ヒラギノ角ゴ Pro W3" w:hAnsi="Arial"/>
                <w:color w:val="000000"/>
                <w:sz w:val="16"/>
              </w:rPr>
            </w:pPr>
          </w:p>
          <w:p w14:paraId="6F74338E" w14:textId="77777777" w:rsidR="006C052A" w:rsidRDefault="006C052A" w:rsidP="00F1758F">
            <w:pPr>
              <w:spacing w:line="360" w:lineRule="auto"/>
              <w:rPr>
                <w:rFonts w:ascii="Arial" w:hAnsi="Arial" w:cs="Arial"/>
                <w:color w:val="000000"/>
                <w:sz w:val="16"/>
                <w:szCs w:val="16"/>
              </w:rPr>
            </w:pPr>
            <w:r>
              <w:rPr>
                <w:rFonts w:ascii="Arial" w:hAnsi="Arial" w:cs="Arial"/>
                <w:color w:val="000000"/>
                <w:sz w:val="16"/>
                <w:szCs w:val="16"/>
              </w:rPr>
              <w:t>http://www.uptodate.com/patients/index.html</w:t>
            </w:r>
          </w:p>
          <w:p w14:paraId="6F74338F" w14:textId="77777777" w:rsidR="006C052A" w:rsidRDefault="006C052A" w:rsidP="00F1758F">
            <w:pPr>
              <w:spacing w:line="360" w:lineRule="auto"/>
              <w:rPr>
                <w:rFonts w:ascii="Arial" w:eastAsia="ヒラギノ角ゴ Pro W3" w:hAnsi="Arial"/>
                <w:color w:val="000000"/>
                <w:sz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90" w14:textId="77777777" w:rsidR="00650C40" w:rsidRDefault="00650C40" w:rsidP="00F1758F">
            <w:pPr>
              <w:spacing w:line="360" w:lineRule="auto"/>
              <w:rPr>
                <w:rFonts w:ascii="Arial" w:eastAsia="ヒラギノ角ゴ Pro W3" w:hAnsi="Arial"/>
                <w:color w:val="000000"/>
                <w:sz w:val="16"/>
              </w:rPr>
            </w:pPr>
          </w:p>
          <w:p w14:paraId="6F743391" w14:textId="77777777" w:rsidR="00574EDB" w:rsidRDefault="00E20387" w:rsidP="00F1758F">
            <w:pPr>
              <w:spacing w:line="360" w:lineRule="auto"/>
              <w:ind w:firstLine="147"/>
              <w:rPr>
                <w:rFonts w:ascii="Arial" w:eastAsia="ヒラギノ角ゴ Pro W3" w:hAnsi="Arial"/>
                <w:color w:val="000000"/>
                <w:sz w:val="16"/>
              </w:rPr>
            </w:pPr>
            <w:r>
              <w:rPr>
                <w:rFonts w:ascii="Arial" w:eastAsia="ヒラギノ角ゴ Pro W3" w:hAnsi="Arial"/>
                <w:color w:val="000000"/>
                <w:sz w:val="16"/>
              </w:rPr>
              <w:t xml:space="preserve">1. </w:t>
            </w:r>
            <w:proofErr w:type="spellStart"/>
            <w:r>
              <w:rPr>
                <w:rFonts w:ascii="Arial" w:eastAsia="ヒラギノ角ゴ Pro W3" w:hAnsi="Arial"/>
                <w:color w:val="000000"/>
                <w:sz w:val="16"/>
              </w:rPr>
              <w:t>eClinicalWorks</w:t>
            </w:r>
            <w:proofErr w:type="spellEnd"/>
            <w:r>
              <w:rPr>
                <w:rFonts w:ascii="Arial" w:eastAsia="ヒラギノ角ゴ Pro W3" w:hAnsi="Arial"/>
                <w:color w:val="000000"/>
                <w:sz w:val="16"/>
              </w:rPr>
              <w:t>/</w:t>
            </w:r>
            <w:proofErr w:type="spellStart"/>
            <w:r>
              <w:rPr>
                <w:rFonts w:ascii="Arial" w:eastAsia="ヒラギノ角ゴ Pro W3" w:hAnsi="Arial"/>
                <w:color w:val="000000"/>
                <w:sz w:val="16"/>
              </w:rPr>
              <w:t>eClinicalWorks</w:t>
            </w:r>
            <w:proofErr w:type="spellEnd"/>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92" w14:textId="77777777" w:rsidR="00650C40" w:rsidRDefault="00650C40" w:rsidP="00F1758F">
            <w:pPr>
              <w:spacing w:line="360" w:lineRule="auto"/>
              <w:rPr>
                <w:rFonts w:ascii="Arial" w:eastAsia="ヒラギノ角ゴ Pro W3" w:hAnsi="Arial"/>
                <w:color w:val="000000"/>
                <w:sz w:val="16"/>
              </w:rPr>
            </w:pPr>
          </w:p>
          <w:p w14:paraId="6F743393" w14:textId="77777777" w:rsidR="00574EDB" w:rsidRDefault="004B235B" w:rsidP="0040490C">
            <w:pPr>
              <w:spacing w:line="360" w:lineRule="auto"/>
              <w:rPr>
                <w:rFonts w:ascii="Arial" w:eastAsia="ヒラギノ角ゴ Pro W3" w:hAnsi="Arial"/>
                <w:color w:val="000000"/>
                <w:sz w:val="16"/>
              </w:rPr>
            </w:pPr>
            <w:r>
              <w:rPr>
                <w:rFonts w:ascii="Arial" w:eastAsia="ヒラギノ角ゴ Pro W3" w:hAnsi="Arial"/>
                <w:color w:val="000000"/>
                <w:sz w:val="16"/>
              </w:rPr>
              <w:t xml:space="preserve">While </w:t>
            </w:r>
            <w:proofErr w:type="spellStart"/>
            <w:r>
              <w:rPr>
                <w:rFonts w:ascii="Arial" w:eastAsia="ヒラギノ角ゴ Pro W3" w:hAnsi="Arial"/>
                <w:color w:val="000000"/>
                <w:sz w:val="16"/>
              </w:rPr>
              <w:t>UpToDate</w:t>
            </w:r>
            <w:proofErr w:type="spellEnd"/>
            <w:r>
              <w:rPr>
                <w:rFonts w:ascii="Arial" w:eastAsia="ヒラギノ角ゴ Pro W3" w:hAnsi="Arial"/>
                <w:color w:val="000000"/>
                <w:sz w:val="16"/>
              </w:rPr>
              <w:t xml:space="preserve"> is known for providing clinical information, it also provides patient education.</w:t>
            </w:r>
            <w:r w:rsidR="00E20387">
              <w:rPr>
                <w:rFonts w:ascii="Arial" w:eastAsia="ヒラギノ角ゴ Pro W3" w:hAnsi="Arial"/>
                <w:color w:val="000000"/>
                <w:sz w:val="16"/>
              </w:rPr>
              <w:t xml:space="preserve"> </w:t>
            </w:r>
            <w:r>
              <w:rPr>
                <w:rFonts w:ascii="Arial" w:eastAsia="ヒラギノ角ゴ Pro W3" w:hAnsi="Arial"/>
                <w:color w:val="000000"/>
                <w:sz w:val="16"/>
              </w:rPr>
              <w:t>P</w:t>
            </w:r>
            <w:r w:rsidR="00E20387">
              <w:rPr>
                <w:rFonts w:ascii="Arial" w:eastAsia="ヒラギノ角ゴ Pro W3" w:hAnsi="Arial"/>
                <w:color w:val="000000"/>
                <w:sz w:val="16"/>
              </w:rPr>
              <w:t xml:space="preserve">atients have access to </w:t>
            </w:r>
            <w:proofErr w:type="spellStart"/>
            <w:r w:rsidR="00E20387">
              <w:rPr>
                <w:rFonts w:ascii="Arial" w:eastAsia="ヒラギノ角ゴ Pro W3" w:hAnsi="Arial"/>
                <w:color w:val="000000"/>
                <w:sz w:val="16"/>
              </w:rPr>
              <w:t>UpToDate</w:t>
            </w:r>
            <w:proofErr w:type="spellEnd"/>
            <w:r w:rsidR="00E20387">
              <w:rPr>
                <w:rFonts w:ascii="Arial" w:eastAsia="ヒラギノ角ゴ Pro W3" w:hAnsi="Arial"/>
                <w:color w:val="000000"/>
                <w:sz w:val="16"/>
              </w:rPr>
              <w:t xml:space="preserve"> </w:t>
            </w:r>
            <w:r>
              <w:rPr>
                <w:rFonts w:ascii="Arial" w:eastAsia="ヒラギノ角ゴ Pro W3" w:hAnsi="Arial"/>
                <w:color w:val="000000"/>
                <w:sz w:val="16"/>
              </w:rPr>
              <w:t xml:space="preserve">and </w:t>
            </w:r>
            <w:proofErr w:type="gramStart"/>
            <w:r>
              <w:rPr>
                <w:rFonts w:ascii="Arial" w:eastAsia="ヒラギノ角ゴ Pro W3" w:hAnsi="Arial"/>
                <w:color w:val="000000"/>
                <w:sz w:val="16"/>
              </w:rPr>
              <w:t xml:space="preserve">can </w:t>
            </w:r>
            <w:r w:rsidR="00E20387">
              <w:rPr>
                <w:rFonts w:ascii="Arial" w:eastAsia="ヒラギノ角ゴ Pro W3" w:hAnsi="Arial"/>
                <w:color w:val="000000"/>
                <w:sz w:val="16"/>
              </w:rPr>
              <w:t xml:space="preserve"> </w:t>
            </w:r>
            <w:r>
              <w:rPr>
                <w:rFonts w:ascii="Arial" w:eastAsia="ヒラギノ角ゴ Pro W3" w:hAnsi="Arial"/>
                <w:color w:val="000000"/>
                <w:sz w:val="16"/>
              </w:rPr>
              <w:t>“</w:t>
            </w:r>
            <w:proofErr w:type="gramEnd"/>
            <w:r w:rsidR="00E20387">
              <w:rPr>
                <w:rFonts w:ascii="Arial" w:eastAsia="ヒラギノ角ゴ Pro W3" w:hAnsi="Arial"/>
                <w:color w:val="000000"/>
                <w:sz w:val="16"/>
              </w:rPr>
              <w:t>learn more about a medical condition, better understand management and treatment options, and have a better dialogue with health care providers</w:t>
            </w:r>
            <w:r>
              <w:rPr>
                <w:rFonts w:ascii="Arial" w:eastAsia="ヒラギノ角ゴ Pro W3" w:hAnsi="Arial"/>
                <w:color w:val="000000"/>
                <w:sz w:val="16"/>
              </w:rPr>
              <w:t>”</w:t>
            </w:r>
            <w:r w:rsidR="00E20387">
              <w:rPr>
                <w:rFonts w:ascii="Arial" w:eastAsia="ヒラギノ角ゴ Pro W3" w:hAnsi="Arial"/>
                <w:color w:val="000000"/>
                <w:sz w:val="16"/>
              </w:rPr>
              <w:t xml:space="preserve">. </w:t>
            </w:r>
            <w:r>
              <w:rPr>
                <w:rFonts w:ascii="Arial" w:eastAsia="ヒラギノ角ゴ Pro W3" w:hAnsi="Arial"/>
                <w:color w:val="000000"/>
                <w:sz w:val="16"/>
              </w:rPr>
              <w:t xml:space="preserve">While basic services are free, there is also a for-fee option. </w:t>
            </w:r>
          </w:p>
        </w:tc>
      </w:tr>
      <w:tr w:rsidR="00E20387" w14:paraId="6F74339D" w14:textId="77777777" w:rsidTr="00FE1CC2">
        <w:trPr>
          <w:cantSplit/>
          <w:trHeight w:val="107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95" w14:textId="77777777" w:rsidR="004B235B" w:rsidRDefault="004B235B" w:rsidP="00F1758F">
            <w:pPr>
              <w:spacing w:line="360" w:lineRule="auto"/>
              <w:rPr>
                <w:rFonts w:ascii="Arial" w:eastAsia="ヒラギノ角ゴ Pro W3" w:hAnsi="Arial"/>
                <w:color w:val="000000"/>
                <w:sz w:val="16"/>
              </w:rPr>
            </w:pPr>
          </w:p>
          <w:p w14:paraId="6F743396" w14:textId="77777777" w:rsidR="00E20387"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WebMD</w:t>
            </w:r>
          </w:p>
          <w:p w14:paraId="6F743397" w14:textId="77777777" w:rsidR="00992691" w:rsidRDefault="00992691" w:rsidP="00F1758F">
            <w:pPr>
              <w:spacing w:line="360" w:lineRule="auto"/>
              <w:rPr>
                <w:rFonts w:ascii="Arial" w:eastAsia="ヒラギノ角ゴ Pro W3" w:hAnsi="Arial"/>
                <w:color w:val="000000"/>
                <w:sz w:val="16"/>
              </w:rPr>
            </w:pPr>
          </w:p>
          <w:p w14:paraId="6F743398" w14:textId="77777777" w:rsidR="006C052A" w:rsidRDefault="006C052A" w:rsidP="00F1758F">
            <w:pPr>
              <w:spacing w:line="360" w:lineRule="auto"/>
              <w:rPr>
                <w:rFonts w:ascii="Arial" w:eastAsia="ヒラギノ角ゴ Pro W3" w:hAnsi="Arial"/>
                <w:color w:val="000000"/>
                <w:sz w:val="16"/>
              </w:rPr>
            </w:pPr>
            <w:r w:rsidRPr="006C052A">
              <w:rPr>
                <w:rFonts w:ascii="Arial" w:eastAsia="ヒラギノ角ゴ Pro W3" w:hAnsi="Arial"/>
                <w:color w:val="000000"/>
                <w:sz w:val="16"/>
              </w:rPr>
              <w:t>http://www.webmd.com/</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99" w14:textId="77777777" w:rsidR="00574EDB" w:rsidRDefault="00574EDB" w:rsidP="00F1758F">
            <w:pPr>
              <w:spacing w:line="360" w:lineRule="auto"/>
              <w:ind w:firstLine="147"/>
              <w:rPr>
                <w:rFonts w:ascii="Arial" w:eastAsia="ヒラギノ角ゴ Pro W3" w:hAnsi="Arial"/>
                <w:color w:val="000000"/>
                <w:sz w:val="16"/>
              </w:rPr>
            </w:pPr>
          </w:p>
          <w:p w14:paraId="6F74339A" w14:textId="77777777" w:rsidR="00574EDB" w:rsidRDefault="00E20387" w:rsidP="00F1758F">
            <w:pPr>
              <w:spacing w:line="360" w:lineRule="auto"/>
              <w:ind w:firstLine="147"/>
              <w:rPr>
                <w:rFonts w:ascii="Arial" w:eastAsia="ヒラギノ角ゴ Pro W3" w:hAnsi="Arial"/>
                <w:color w:val="000000"/>
                <w:sz w:val="16"/>
              </w:rPr>
            </w:pPr>
            <w:r>
              <w:rPr>
                <w:rFonts w:ascii="Arial" w:eastAsia="ヒラギノ角ゴ Pro W3" w:hAnsi="Arial"/>
                <w:color w:val="000000"/>
                <w:sz w:val="16"/>
              </w:rPr>
              <w:t xml:space="preserve">1. </w:t>
            </w:r>
            <w:proofErr w:type="spellStart"/>
            <w:r>
              <w:rPr>
                <w:rFonts w:ascii="Arial" w:eastAsia="ヒラギノ角ゴ Pro W3" w:hAnsi="Arial"/>
                <w:color w:val="000000"/>
                <w:sz w:val="16"/>
              </w:rPr>
              <w:t>CompuLink</w:t>
            </w:r>
            <w:proofErr w:type="spellEnd"/>
            <w:r>
              <w:rPr>
                <w:rFonts w:ascii="Arial" w:eastAsia="ヒラギノ角ゴ Pro W3" w:hAnsi="Arial"/>
                <w:color w:val="000000"/>
                <w:sz w:val="16"/>
              </w:rPr>
              <w:t>/</w:t>
            </w:r>
            <w:proofErr w:type="spellStart"/>
            <w:r>
              <w:rPr>
                <w:rFonts w:ascii="Arial" w:eastAsia="ヒラギノ角ゴ Pro W3" w:hAnsi="Arial"/>
                <w:color w:val="000000"/>
                <w:sz w:val="16"/>
              </w:rPr>
              <w:t>AdvantageEHR</w:t>
            </w:r>
            <w:proofErr w:type="spellEnd"/>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9B" w14:textId="77777777" w:rsidR="004B235B" w:rsidRDefault="004B235B" w:rsidP="00F1758F">
            <w:pPr>
              <w:spacing w:line="360" w:lineRule="auto"/>
              <w:rPr>
                <w:rFonts w:ascii="Arial" w:eastAsia="ヒラギノ角ゴ Pro W3" w:hAnsi="Arial"/>
                <w:color w:val="000000"/>
                <w:sz w:val="16"/>
              </w:rPr>
            </w:pPr>
          </w:p>
          <w:p w14:paraId="6F74339C" w14:textId="77777777" w:rsidR="00574EDB"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WebMD provides health information</w:t>
            </w:r>
            <w:r w:rsidR="00FE1CC2">
              <w:rPr>
                <w:rFonts w:ascii="Arial" w:eastAsia="ヒラギノ角ゴ Pro W3" w:hAnsi="Arial"/>
                <w:color w:val="000000"/>
                <w:sz w:val="16"/>
              </w:rPr>
              <w:t xml:space="preserve"> and</w:t>
            </w:r>
            <w:r>
              <w:rPr>
                <w:rFonts w:ascii="Arial" w:eastAsia="ヒラギノ角ゴ Pro W3" w:hAnsi="Arial"/>
                <w:color w:val="000000"/>
                <w:sz w:val="16"/>
              </w:rPr>
              <w:t xml:space="preserve"> tools for </w:t>
            </w:r>
            <w:r w:rsidR="00FE1CC2">
              <w:rPr>
                <w:rFonts w:ascii="Arial" w:eastAsia="ヒラギノ角ゴ Pro W3" w:hAnsi="Arial"/>
                <w:color w:val="000000"/>
                <w:sz w:val="16"/>
              </w:rPr>
              <w:t xml:space="preserve">health management. Health topics, drugs and supplements, and health solutions are some of WebMD’s services. </w:t>
            </w:r>
          </w:p>
        </w:tc>
      </w:tr>
      <w:tr w:rsidR="00E20387" w14:paraId="6F7433A6" w14:textId="77777777" w:rsidTr="00FE1CC2">
        <w:trPr>
          <w:cantSplit/>
          <w:trHeight w:val="1430"/>
        </w:trPr>
        <w:tc>
          <w:tcPr>
            <w:tcW w:w="2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9E" w14:textId="77777777" w:rsidR="00FE1CC2" w:rsidRDefault="00FE1CC2" w:rsidP="00F1758F">
            <w:pPr>
              <w:spacing w:line="360" w:lineRule="auto"/>
              <w:rPr>
                <w:rFonts w:ascii="Arial" w:eastAsia="ヒラギノ角ゴ Pro W3" w:hAnsi="Arial"/>
                <w:color w:val="000000"/>
                <w:sz w:val="16"/>
              </w:rPr>
            </w:pPr>
          </w:p>
          <w:p w14:paraId="6F74339F" w14:textId="77777777" w:rsidR="00E20387"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wired.MD (</w:t>
            </w:r>
            <w:proofErr w:type="spellStart"/>
            <w:r>
              <w:rPr>
                <w:rFonts w:ascii="Arial" w:eastAsia="ヒラギノ角ゴ Pro W3" w:hAnsi="Arial"/>
                <w:color w:val="000000"/>
                <w:sz w:val="16"/>
              </w:rPr>
              <w:t>Krames</w:t>
            </w:r>
            <w:proofErr w:type="spellEnd"/>
            <w:r>
              <w:rPr>
                <w:rFonts w:ascii="Arial" w:eastAsia="ヒラギノ角ゴ Pro W3" w:hAnsi="Arial"/>
                <w:color w:val="000000"/>
                <w:sz w:val="16"/>
              </w:rPr>
              <w:t>)</w:t>
            </w:r>
          </w:p>
          <w:p w14:paraId="6F7433A0" w14:textId="77777777" w:rsidR="00992691" w:rsidRDefault="00992691" w:rsidP="00F1758F">
            <w:pPr>
              <w:spacing w:line="360" w:lineRule="auto"/>
              <w:rPr>
                <w:rFonts w:ascii="Arial" w:eastAsia="ヒラギノ角ゴ Pro W3" w:hAnsi="Arial"/>
                <w:color w:val="000000"/>
                <w:sz w:val="16"/>
              </w:rPr>
            </w:pPr>
          </w:p>
          <w:p w14:paraId="6F7433A1" w14:textId="77777777" w:rsidR="006C052A" w:rsidRDefault="006C052A" w:rsidP="00F1758F">
            <w:pPr>
              <w:spacing w:line="360" w:lineRule="auto"/>
              <w:rPr>
                <w:rFonts w:ascii="Arial" w:eastAsia="ヒラギノ角ゴ Pro W3" w:hAnsi="Arial"/>
                <w:color w:val="000000"/>
                <w:sz w:val="16"/>
              </w:rPr>
            </w:pPr>
            <w:r w:rsidRPr="006C052A">
              <w:rPr>
                <w:rFonts w:ascii="Arial" w:eastAsia="ヒラギノ角ゴ Pro W3" w:hAnsi="Arial"/>
                <w:color w:val="000000"/>
                <w:sz w:val="16"/>
              </w:rPr>
              <w:t>http://www.wired.md/</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A2" w14:textId="77777777" w:rsidR="00FE1CC2" w:rsidRDefault="00FE1CC2" w:rsidP="00F1758F">
            <w:pPr>
              <w:spacing w:line="360" w:lineRule="auto"/>
              <w:rPr>
                <w:rFonts w:ascii="Arial" w:eastAsia="ヒラギノ角ゴ Pro W3" w:hAnsi="Arial"/>
                <w:color w:val="000000"/>
                <w:sz w:val="16"/>
              </w:rPr>
            </w:pPr>
          </w:p>
          <w:p w14:paraId="6F7433A3" w14:textId="77777777" w:rsidR="00574EDB" w:rsidRDefault="00E20387" w:rsidP="00F1758F">
            <w:pPr>
              <w:spacing w:line="360" w:lineRule="auto"/>
              <w:ind w:firstLine="147"/>
              <w:rPr>
                <w:rFonts w:ascii="Arial" w:eastAsia="ヒラギノ角ゴ Pro W3" w:hAnsi="Arial"/>
                <w:color w:val="000000"/>
                <w:sz w:val="16"/>
              </w:rPr>
            </w:pPr>
            <w:r>
              <w:rPr>
                <w:rFonts w:ascii="Arial" w:eastAsia="ヒラギノ角ゴ Pro W3" w:hAnsi="Arial"/>
                <w:color w:val="000000"/>
                <w:sz w:val="16"/>
              </w:rPr>
              <w:t xml:space="preserve">1. EPIC  </w:t>
            </w:r>
          </w:p>
        </w:tc>
        <w:tc>
          <w:tcPr>
            <w:tcW w:w="3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7433A4" w14:textId="77777777" w:rsidR="00FE1CC2" w:rsidRDefault="00FE1CC2" w:rsidP="00F1758F">
            <w:pPr>
              <w:spacing w:line="360" w:lineRule="auto"/>
              <w:rPr>
                <w:rFonts w:ascii="Arial" w:eastAsia="ヒラギノ角ゴ Pro W3" w:hAnsi="Arial"/>
                <w:color w:val="000000"/>
                <w:sz w:val="16"/>
              </w:rPr>
            </w:pPr>
          </w:p>
          <w:p w14:paraId="6F7433A5" w14:textId="77777777" w:rsidR="00574EDB" w:rsidRDefault="00E20387" w:rsidP="00F1758F">
            <w:pPr>
              <w:spacing w:line="360" w:lineRule="auto"/>
              <w:rPr>
                <w:rFonts w:ascii="Arial" w:eastAsia="ヒラギノ角ゴ Pro W3" w:hAnsi="Arial"/>
                <w:color w:val="000000"/>
                <w:sz w:val="16"/>
              </w:rPr>
            </w:pPr>
            <w:r>
              <w:rPr>
                <w:rFonts w:ascii="Arial" w:eastAsia="ヒラギノ角ゴ Pro W3" w:hAnsi="Arial"/>
                <w:color w:val="000000"/>
                <w:sz w:val="16"/>
              </w:rPr>
              <w:t>wired.MD™</w:t>
            </w:r>
            <w:r w:rsidR="00FE1CC2">
              <w:rPr>
                <w:rFonts w:ascii="Arial" w:eastAsia="ヒラギノ角ゴ Pro W3" w:hAnsi="Arial"/>
                <w:color w:val="000000"/>
                <w:sz w:val="16"/>
              </w:rPr>
              <w:t xml:space="preserve"> provides video patient education software. It uses the </w:t>
            </w:r>
            <w:proofErr w:type="spellStart"/>
            <w:r w:rsidR="00FE1CC2">
              <w:rPr>
                <w:rFonts w:ascii="Arial" w:eastAsia="ヒラギノ角ゴ Pro W3" w:hAnsi="Arial"/>
                <w:color w:val="000000"/>
                <w:sz w:val="16"/>
              </w:rPr>
              <w:t>s</w:t>
            </w:r>
            <w:r>
              <w:rPr>
                <w:rFonts w:ascii="Arial" w:eastAsia="ヒラギノ角ゴ Pro W3" w:hAnsi="Arial"/>
                <w:color w:val="000000"/>
                <w:sz w:val="16"/>
              </w:rPr>
              <w:t>treaMed</w:t>
            </w:r>
            <w:proofErr w:type="spellEnd"/>
            <w:r>
              <w:rPr>
                <w:rFonts w:ascii="Arial" w:eastAsia="ヒラギノ角ゴ Pro W3" w:hAnsi="Arial"/>
                <w:color w:val="000000"/>
                <w:sz w:val="16"/>
              </w:rPr>
              <w:t xml:space="preserve">™ Patient Education Solution </w:t>
            </w:r>
            <w:r w:rsidR="00FE1CC2">
              <w:rPr>
                <w:rFonts w:ascii="Arial" w:eastAsia="ヒラギノ角ゴ Pro W3" w:hAnsi="Arial"/>
                <w:color w:val="000000"/>
                <w:sz w:val="16"/>
              </w:rPr>
              <w:t xml:space="preserve">as a point of care tool. </w:t>
            </w:r>
            <w:r>
              <w:rPr>
                <w:rFonts w:ascii="Arial" w:eastAsia="ヒラギノ角ゴ Pro W3" w:hAnsi="Arial"/>
                <w:color w:val="000000"/>
                <w:sz w:val="16"/>
              </w:rPr>
              <w:t xml:space="preserve"> </w:t>
            </w:r>
            <w:r w:rsidR="00FE1CC2">
              <w:rPr>
                <w:rFonts w:ascii="Arial" w:eastAsia="ヒラギノ角ゴ Pro W3" w:hAnsi="Arial"/>
                <w:color w:val="000000"/>
                <w:sz w:val="16"/>
              </w:rPr>
              <w:t>“</w:t>
            </w:r>
            <w:r>
              <w:rPr>
                <w:rFonts w:ascii="Arial" w:eastAsia="ヒラギノ角ゴ Pro W3" w:hAnsi="Arial"/>
                <w:color w:val="000000"/>
                <w:sz w:val="16"/>
              </w:rPr>
              <w:t>335 patient education videos are available in as many as 8 languages, and it offers 1340 text handouts in English and Spanish</w:t>
            </w:r>
            <w:r w:rsidR="00FE1CC2">
              <w:rPr>
                <w:rFonts w:ascii="Arial" w:eastAsia="ヒラギノ角ゴ Pro W3" w:hAnsi="Arial"/>
                <w:color w:val="000000"/>
                <w:sz w:val="16"/>
              </w:rPr>
              <w:t>”</w:t>
            </w:r>
            <w:r>
              <w:rPr>
                <w:rFonts w:ascii="Arial" w:eastAsia="ヒラギノ角ゴ Pro W3" w:hAnsi="Arial"/>
                <w:color w:val="000000"/>
                <w:sz w:val="16"/>
              </w:rPr>
              <w:t xml:space="preserve">. </w:t>
            </w:r>
          </w:p>
        </w:tc>
      </w:tr>
    </w:tbl>
    <w:p w14:paraId="6F7433A7" w14:textId="77777777" w:rsidR="00574EDB" w:rsidRDefault="00574EDB" w:rsidP="00F1758F">
      <w:pPr>
        <w:spacing w:line="360" w:lineRule="auto"/>
        <w:rPr>
          <w:b/>
        </w:rPr>
      </w:pPr>
    </w:p>
    <w:sectPr w:rsidR="00574EDB" w:rsidSect="009D45CC">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433AA" w14:textId="77777777" w:rsidR="00D369E0" w:rsidRDefault="00D369E0" w:rsidP="00894E46">
      <w:r>
        <w:separator/>
      </w:r>
    </w:p>
  </w:endnote>
  <w:endnote w:type="continuationSeparator" w:id="0">
    <w:p w14:paraId="6F7433AB" w14:textId="77777777" w:rsidR="00D369E0" w:rsidRDefault="00D369E0" w:rsidP="0089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077502"/>
      <w:docPartObj>
        <w:docPartGallery w:val="Page Numbers (Bottom of Page)"/>
        <w:docPartUnique/>
      </w:docPartObj>
    </w:sdtPr>
    <w:sdtEndPr/>
    <w:sdtContent>
      <w:p w14:paraId="6F7433AD" w14:textId="77777777" w:rsidR="00D369E0" w:rsidRDefault="00DE1520">
        <w:pPr>
          <w:pStyle w:val="Footer"/>
          <w:jc w:val="right"/>
        </w:pPr>
        <w:r w:rsidRPr="00975C5C">
          <w:rPr>
            <w:sz w:val="20"/>
            <w:szCs w:val="20"/>
          </w:rPr>
          <w:fldChar w:fldCharType="begin"/>
        </w:r>
        <w:r w:rsidR="00D369E0" w:rsidRPr="00975C5C">
          <w:rPr>
            <w:sz w:val="20"/>
            <w:szCs w:val="20"/>
          </w:rPr>
          <w:instrText xml:space="preserve"> PAGE   \* MERGEFORMAT </w:instrText>
        </w:r>
        <w:r w:rsidRPr="00975C5C">
          <w:rPr>
            <w:sz w:val="20"/>
            <w:szCs w:val="20"/>
          </w:rPr>
          <w:fldChar w:fldCharType="separate"/>
        </w:r>
        <w:r w:rsidR="007851BF">
          <w:rPr>
            <w:noProof/>
            <w:sz w:val="20"/>
            <w:szCs w:val="20"/>
          </w:rPr>
          <w:t>22</w:t>
        </w:r>
        <w:r w:rsidRPr="00975C5C">
          <w:rPr>
            <w:sz w:val="20"/>
            <w:szCs w:val="20"/>
          </w:rPr>
          <w:fldChar w:fldCharType="end"/>
        </w:r>
      </w:p>
    </w:sdtContent>
  </w:sdt>
  <w:p w14:paraId="6F7433AE" w14:textId="77777777" w:rsidR="00D369E0" w:rsidRDefault="00D3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433A8" w14:textId="77777777" w:rsidR="00D369E0" w:rsidRDefault="00D369E0" w:rsidP="00894E46">
      <w:r>
        <w:separator/>
      </w:r>
    </w:p>
  </w:footnote>
  <w:footnote w:type="continuationSeparator" w:id="0">
    <w:p w14:paraId="6F7433A9" w14:textId="77777777" w:rsidR="00D369E0" w:rsidRDefault="00D369E0" w:rsidP="0089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33AC" w14:textId="77777777" w:rsidR="00D369E0" w:rsidRPr="00975C5C" w:rsidRDefault="00D369E0" w:rsidP="00975C5C">
    <w:pPr>
      <w:pStyle w:val="Header"/>
      <w:tabs>
        <w:tab w:val="left" w:pos="7050"/>
      </w:tabs>
      <w:ind w:right="160"/>
      <w:rPr>
        <w:sz w:val="20"/>
        <w:szCs w:val="20"/>
      </w:rPr>
    </w:pPr>
    <w:r w:rsidRPr="00975C5C">
      <w:rPr>
        <w:sz w:val="20"/>
        <w:szCs w:val="20"/>
      </w:rPr>
      <w:t>Research EHR Systems with a Patient Education Component</w:t>
    </w:r>
    <w:r w:rsidRPr="00975C5C">
      <w:rPr>
        <w:sz w:val="20"/>
        <w:szCs w:val="20"/>
      </w:rPr>
      <w:tab/>
    </w:r>
    <w:r w:rsidRPr="00975C5C">
      <w:rPr>
        <w:sz w:val="20"/>
        <w:szCs w:val="20"/>
      </w:rPr>
      <w:tab/>
      <w:t>Kristen Burgess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18D6"/>
    <w:multiLevelType w:val="hybridMultilevel"/>
    <w:tmpl w:val="1C98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74543"/>
    <w:multiLevelType w:val="hybridMultilevel"/>
    <w:tmpl w:val="9F88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D0E69"/>
    <w:multiLevelType w:val="hybridMultilevel"/>
    <w:tmpl w:val="25940B12"/>
    <w:lvl w:ilvl="0" w:tplc="F940977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07FDB"/>
    <w:multiLevelType w:val="hybridMultilevel"/>
    <w:tmpl w:val="8AA8F166"/>
    <w:lvl w:ilvl="0" w:tplc="F940977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B7648"/>
    <w:multiLevelType w:val="hybridMultilevel"/>
    <w:tmpl w:val="FA96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E1068"/>
    <w:multiLevelType w:val="hybridMultilevel"/>
    <w:tmpl w:val="2594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B1E12"/>
    <w:multiLevelType w:val="hybridMultilevel"/>
    <w:tmpl w:val="BDE2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F0AD8"/>
    <w:multiLevelType w:val="hybridMultilevel"/>
    <w:tmpl w:val="498E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21106"/>
    <w:multiLevelType w:val="hybridMultilevel"/>
    <w:tmpl w:val="8FCA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C6044"/>
    <w:multiLevelType w:val="hybridMultilevel"/>
    <w:tmpl w:val="9C24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B478A"/>
    <w:multiLevelType w:val="hybridMultilevel"/>
    <w:tmpl w:val="A936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07BAC"/>
    <w:multiLevelType w:val="hybridMultilevel"/>
    <w:tmpl w:val="05305FE4"/>
    <w:lvl w:ilvl="0" w:tplc="274871D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A2D03"/>
    <w:multiLevelType w:val="hybridMultilevel"/>
    <w:tmpl w:val="1C98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141EF"/>
    <w:multiLevelType w:val="hybridMultilevel"/>
    <w:tmpl w:val="3E221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B290A7A"/>
    <w:multiLevelType w:val="hybridMultilevel"/>
    <w:tmpl w:val="57FA6AF6"/>
    <w:lvl w:ilvl="0" w:tplc="F940977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C71A7"/>
    <w:multiLevelType w:val="hybridMultilevel"/>
    <w:tmpl w:val="E0D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27A81"/>
    <w:multiLevelType w:val="hybridMultilevel"/>
    <w:tmpl w:val="EF58C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53812"/>
    <w:multiLevelType w:val="hybridMultilevel"/>
    <w:tmpl w:val="B61C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46AE2"/>
    <w:multiLevelType w:val="hybridMultilevel"/>
    <w:tmpl w:val="6B1A3E7C"/>
    <w:lvl w:ilvl="0" w:tplc="F940977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A6FCD"/>
    <w:multiLevelType w:val="hybridMultilevel"/>
    <w:tmpl w:val="96FA9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5B34CE"/>
    <w:multiLevelType w:val="hybridMultilevel"/>
    <w:tmpl w:val="BFB643F8"/>
    <w:lvl w:ilvl="0" w:tplc="F940977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9"/>
  </w:num>
  <w:num w:numId="4">
    <w:abstractNumId w:val="7"/>
  </w:num>
  <w:num w:numId="5">
    <w:abstractNumId w:val="0"/>
  </w:num>
  <w:num w:numId="6">
    <w:abstractNumId w:val="12"/>
  </w:num>
  <w:num w:numId="7">
    <w:abstractNumId w:val="11"/>
  </w:num>
  <w:num w:numId="8">
    <w:abstractNumId w:val="13"/>
  </w:num>
  <w:num w:numId="9">
    <w:abstractNumId w:val="15"/>
  </w:num>
  <w:num w:numId="10">
    <w:abstractNumId w:val="8"/>
  </w:num>
  <w:num w:numId="11">
    <w:abstractNumId w:val="16"/>
  </w:num>
  <w:num w:numId="12">
    <w:abstractNumId w:val="20"/>
  </w:num>
  <w:num w:numId="13">
    <w:abstractNumId w:val="2"/>
  </w:num>
  <w:num w:numId="14">
    <w:abstractNumId w:val="3"/>
  </w:num>
  <w:num w:numId="15">
    <w:abstractNumId w:val="10"/>
  </w:num>
  <w:num w:numId="16">
    <w:abstractNumId w:val="4"/>
  </w:num>
  <w:num w:numId="17">
    <w:abstractNumId w:val="5"/>
  </w:num>
  <w:num w:numId="18">
    <w:abstractNumId w:val="18"/>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0C"/>
    <w:rsid w:val="000049DD"/>
    <w:rsid w:val="00017DC4"/>
    <w:rsid w:val="00031A02"/>
    <w:rsid w:val="00034D5C"/>
    <w:rsid w:val="0004352C"/>
    <w:rsid w:val="000523AE"/>
    <w:rsid w:val="000601C2"/>
    <w:rsid w:val="00061FD8"/>
    <w:rsid w:val="000919DB"/>
    <w:rsid w:val="000926F3"/>
    <w:rsid w:val="000978FA"/>
    <w:rsid w:val="000B5BCB"/>
    <w:rsid w:val="000C3332"/>
    <w:rsid w:val="000C7BC0"/>
    <w:rsid w:val="000D3871"/>
    <w:rsid w:val="000F1CCB"/>
    <w:rsid w:val="001006F9"/>
    <w:rsid w:val="00113F4B"/>
    <w:rsid w:val="00116737"/>
    <w:rsid w:val="00136268"/>
    <w:rsid w:val="00180776"/>
    <w:rsid w:val="00191EA3"/>
    <w:rsid w:val="00197BE4"/>
    <w:rsid w:val="001B1308"/>
    <w:rsid w:val="001B5EF1"/>
    <w:rsid w:val="001D4E0C"/>
    <w:rsid w:val="001D7452"/>
    <w:rsid w:val="001E2FC9"/>
    <w:rsid w:val="001F4E08"/>
    <w:rsid w:val="00206B21"/>
    <w:rsid w:val="00215895"/>
    <w:rsid w:val="00223C57"/>
    <w:rsid w:val="00225041"/>
    <w:rsid w:val="00235228"/>
    <w:rsid w:val="0023703C"/>
    <w:rsid w:val="00240A82"/>
    <w:rsid w:val="00240C54"/>
    <w:rsid w:val="00241949"/>
    <w:rsid w:val="00245F2F"/>
    <w:rsid w:val="00256417"/>
    <w:rsid w:val="00281B84"/>
    <w:rsid w:val="002842B8"/>
    <w:rsid w:val="0028479F"/>
    <w:rsid w:val="002919C2"/>
    <w:rsid w:val="0029395C"/>
    <w:rsid w:val="00294C09"/>
    <w:rsid w:val="002961D6"/>
    <w:rsid w:val="002B2BC0"/>
    <w:rsid w:val="002B5EEC"/>
    <w:rsid w:val="002B7283"/>
    <w:rsid w:val="002C4504"/>
    <w:rsid w:val="002D5C7C"/>
    <w:rsid w:val="002E0BC1"/>
    <w:rsid w:val="002E315E"/>
    <w:rsid w:val="002F6218"/>
    <w:rsid w:val="0030282D"/>
    <w:rsid w:val="00311BE3"/>
    <w:rsid w:val="00321EE7"/>
    <w:rsid w:val="00322550"/>
    <w:rsid w:val="003505BD"/>
    <w:rsid w:val="00355443"/>
    <w:rsid w:val="00362217"/>
    <w:rsid w:val="00373967"/>
    <w:rsid w:val="00387667"/>
    <w:rsid w:val="003A3CA0"/>
    <w:rsid w:val="003A4066"/>
    <w:rsid w:val="003C4397"/>
    <w:rsid w:val="003C6595"/>
    <w:rsid w:val="003C7FD2"/>
    <w:rsid w:val="003D75D6"/>
    <w:rsid w:val="0040074B"/>
    <w:rsid w:val="00400AB7"/>
    <w:rsid w:val="00403FBB"/>
    <w:rsid w:val="00404240"/>
    <w:rsid w:val="0040490C"/>
    <w:rsid w:val="00405CE8"/>
    <w:rsid w:val="00420AB9"/>
    <w:rsid w:val="004234E3"/>
    <w:rsid w:val="00437C49"/>
    <w:rsid w:val="00452BEA"/>
    <w:rsid w:val="004546DD"/>
    <w:rsid w:val="004611C1"/>
    <w:rsid w:val="00470DDA"/>
    <w:rsid w:val="00475A66"/>
    <w:rsid w:val="004770AD"/>
    <w:rsid w:val="00482457"/>
    <w:rsid w:val="00490FFD"/>
    <w:rsid w:val="004B235B"/>
    <w:rsid w:val="004B6BAD"/>
    <w:rsid w:val="004C301C"/>
    <w:rsid w:val="004C3676"/>
    <w:rsid w:val="004C3819"/>
    <w:rsid w:val="004D2F01"/>
    <w:rsid w:val="004D3000"/>
    <w:rsid w:val="004D3507"/>
    <w:rsid w:val="004D67B4"/>
    <w:rsid w:val="004E47A0"/>
    <w:rsid w:val="004E59E8"/>
    <w:rsid w:val="0050024F"/>
    <w:rsid w:val="00501330"/>
    <w:rsid w:val="00512831"/>
    <w:rsid w:val="005146D9"/>
    <w:rsid w:val="0051780C"/>
    <w:rsid w:val="005345FB"/>
    <w:rsid w:val="00535444"/>
    <w:rsid w:val="005441FD"/>
    <w:rsid w:val="00551A4A"/>
    <w:rsid w:val="0056448A"/>
    <w:rsid w:val="00566D17"/>
    <w:rsid w:val="00574EDB"/>
    <w:rsid w:val="00581C68"/>
    <w:rsid w:val="00582109"/>
    <w:rsid w:val="00584068"/>
    <w:rsid w:val="00587640"/>
    <w:rsid w:val="005B4402"/>
    <w:rsid w:val="005C04D0"/>
    <w:rsid w:val="005D4DBA"/>
    <w:rsid w:val="005E2673"/>
    <w:rsid w:val="00612736"/>
    <w:rsid w:val="0061686F"/>
    <w:rsid w:val="006178A3"/>
    <w:rsid w:val="00620CE4"/>
    <w:rsid w:val="0063376F"/>
    <w:rsid w:val="00642BB2"/>
    <w:rsid w:val="00650C40"/>
    <w:rsid w:val="006535B1"/>
    <w:rsid w:val="006608A1"/>
    <w:rsid w:val="00663C03"/>
    <w:rsid w:val="00673BFD"/>
    <w:rsid w:val="006751D5"/>
    <w:rsid w:val="00687240"/>
    <w:rsid w:val="006958C3"/>
    <w:rsid w:val="006A1258"/>
    <w:rsid w:val="006B4271"/>
    <w:rsid w:val="006B5495"/>
    <w:rsid w:val="006C052A"/>
    <w:rsid w:val="006C4175"/>
    <w:rsid w:val="006E0AB3"/>
    <w:rsid w:val="006E1961"/>
    <w:rsid w:val="006E6470"/>
    <w:rsid w:val="0071459F"/>
    <w:rsid w:val="007163D5"/>
    <w:rsid w:val="007279B2"/>
    <w:rsid w:val="00733216"/>
    <w:rsid w:val="007502C9"/>
    <w:rsid w:val="00751E84"/>
    <w:rsid w:val="007603B7"/>
    <w:rsid w:val="00761C3C"/>
    <w:rsid w:val="00774D2C"/>
    <w:rsid w:val="00775B15"/>
    <w:rsid w:val="00777A61"/>
    <w:rsid w:val="007851BF"/>
    <w:rsid w:val="00786632"/>
    <w:rsid w:val="007C38CD"/>
    <w:rsid w:val="007D3488"/>
    <w:rsid w:val="007D39B7"/>
    <w:rsid w:val="007D7970"/>
    <w:rsid w:val="007E2DD9"/>
    <w:rsid w:val="00800EBF"/>
    <w:rsid w:val="0081314E"/>
    <w:rsid w:val="008245C0"/>
    <w:rsid w:val="00831D3C"/>
    <w:rsid w:val="00842CFC"/>
    <w:rsid w:val="00845E6E"/>
    <w:rsid w:val="008477FA"/>
    <w:rsid w:val="00850430"/>
    <w:rsid w:val="00864BCB"/>
    <w:rsid w:val="00867D2E"/>
    <w:rsid w:val="008823AA"/>
    <w:rsid w:val="00883092"/>
    <w:rsid w:val="008854CF"/>
    <w:rsid w:val="00893131"/>
    <w:rsid w:val="00894E46"/>
    <w:rsid w:val="008961D5"/>
    <w:rsid w:val="00896265"/>
    <w:rsid w:val="008979B0"/>
    <w:rsid w:val="008C51D3"/>
    <w:rsid w:val="008E6D98"/>
    <w:rsid w:val="008F12BE"/>
    <w:rsid w:val="008F187B"/>
    <w:rsid w:val="008F5C29"/>
    <w:rsid w:val="00902CE0"/>
    <w:rsid w:val="009354A4"/>
    <w:rsid w:val="009569B2"/>
    <w:rsid w:val="009576AF"/>
    <w:rsid w:val="00962C3D"/>
    <w:rsid w:val="00972A1B"/>
    <w:rsid w:val="00973F30"/>
    <w:rsid w:val="00975C5C"/>
    <w:rsid w:val="00981D5D"/>
    <w:rsid w:val="009820FC"/>
    <w:rsid w:val="00992691"/>
    <w:rsid w:val="009A13CD"/>
    <w:rsid w:val="009B20D3"/>
    <w:rsid w:val="009B46E6"/>
    <w:rsid w:val="009B5A89"/>
    <w:rsid w:val="009C03A4"/>
    <w:rsid w:val="009D1BA2"/>
    <w:rsid w:val="009D45CC"/>
    <w:rsid w:val="009D4BAA"/>
    <w:rsid w:val="009E0115"/>
    <w:rsid w:val="00A2486A"/>
    <w:rsid w:val="00A27F07"/>
    <w:rsid w:val="00A32C13"/>
    <w:rsid w:val="00A34628"/>
    <w:rsid w:val="00A374F8"/>
    <w:rsid w:val="00A44364"/>
    <w:rsid w:val="00A50BCF"/>
    <w:rsid w:val="00A53C5D"/>
    <w:rsid w:val="00A55EC7"/>
    <w:rsid w:val="00A701B7"/>
    <w:rsid w:val="00A70846"/>
    <w:rsid w:val="00A728C1"/>
    <w:rsid w:val="00A73A6B"/>
    <w:rsid w:val="00A761FA"/>
    <w:rsid w:val="00A83493"/>
    <w:rsid w:val="00A83D4E"/>
    <w:rsid w:val="00A8576D"/>
    <w:rsid w:val="00A90112"/>
    <w:rsid w:val="00A96886"/>
    <w:rsid w:val="00AA461A"/>
    <w:rsid w:val="00AB20AA"/>
    <w:rsid w:val="00AB45A2"/>
    <w:rsid w:val="00AC39DE"/>
    <w:rsid w:val="00AD3DC8"/>
    <w:rsid w:val="00AD3E25"/>
    <w:rsid w:val="00AE6E48"/>
    <w:rsid w:val="00AE7683"/>
    <w:rsid w:val="00AF020F"/>
    <w:rsid w:val="00AF4E03"/>
    <w:rsid w:val="00B06F6D"/>
    <w:rsid w:val="00B1054A"/>
    <w:rsid w:val="00B117C9"/>
    <w:rsid w:val="00B11ACD"/>
    <w:rsid w:val="00B13A8B"/>
    <w:rsid w:val="00B20D22"/>
    <w:rsid w:val="00B267D1"/>
    <w:rsid w:val="00B346EB"/>
    <w:rsid w:val="00B37F75"/>
    <w:rsid w:val="00B52FC7"/>
    <w:rsid w:val="00BB5E41"/>
    <w:rsid w:val="00BD1F78"/>
    <w:rsid w:val="00BE2BB9"/>
    <w:rsid w:val="00BF48E2"/>
    <w:rsid w:val="00C4725F"/>
    <w:rsid w:val="00C51453"/>
    <w:rsid w:val="00C85009"/>
    <w:rsid w:val="00CA041D"/>
    <w:rsid w:val="00CB7F67"/>
    <w:rsid w:val="00CC1E5D"/>
    <w:rsid w:val="00CC2EE5"/>
    <w:rsid w:val="00CC56A4"/>
    <w:rsid w:val="00CC5CE9"/>
    <w:rsid w:val="00CD1786"/>
    <w:rsid w:val="00CD7412"/>
    <w:rsid w:val="00D0153B"/>
    <w:rsid w:val="00D0541F"/>
    <w:rsid w:val="00D06274"/>
    <w:rsid w:val="00D115AC"/>
    <w:rsid w:val="00D176EE"/>
    <w:rsid w:val="00D20A66"/>
    <w:rsid w:val="00D26E9C"/>
    <w:rsid w:val="00D27979"/>
    <w:rsid w:val="00D369E0"/>
    <w:rsid w:val="00D36DE2"/>
    <w:rsid w:val="00D469DC"/>
    <w:rsid w:val="00D57084"/>
    <w:rsid w:val="00D65F08"/>
    <w:rsid w:val="00D80792"/>
    <w:rsid w:val="00D82364"/>
    <w:rsid w:val="00D86965"/>
    <w:rsid w:val="00D86C1E"/>
    <w:rsid w:val="00D90815"/>
    <w:rsid w:val="00D96D7F"/>
    <w:rsid w:val="00DA2437"/>
    <w:rsid w:val="00DA5AB2"/>
    <w:rsid w:val="00DA73DF"/>
    <w:rsid w:val="00DB1253"/>
    <w:rsid w:val="00DC658C"/>
    <w:rsid w:val="00DD02D1"/>
    <w:rsid w:val="00DD1220"/>
    <w:rsid w:val="00DD1360"/>
    <w:rsid w:val="00DE04B6"/>
    <w:rsid w:val="00DE1520"/>
    <w:rsid w:val="00DE7F37"/>
    <w:rsid w:val="00DF3EF8"/>
    <w:rsid w:val="00E00CE1"/>
    <w:rsid w:val="00E01D0D"/>
    <w:rsid w:val="00E02012"/>
    <w:rsid w:val="00E20387"/>
    <w:rsid w:val="00E22D77"/>
    <w:rsid w:val="00E3129B"/>
    <w:rsid w:val="00E32CFC"/>
    <w:rsid w:val="00E43E99"/>
    <w:rsid w:val="00E45D0A"/>
    <w:rsid w:val="00E50699"/>
    <w:rsid w:val="00E57056"/>
    <w:rsid w:val="00E66D14"/>
    <w:rsid w:val="00E75196"/>
    <w:rsid w:val="00E81C93"/>
    <w:rsid w:val="00E94EE2"/>
    <w:rsid w:val="00E970DF"/>
    <w:rsid w:val="00EA5C0C"/>
    <w:rsid w:val="00EB04C6"/>
    <w:rsid w:val="00EB2924"/>
    <w:rsid w:val="00EB3343"/>
    <w:rsid w:val="00EC533D"/>
    <w:rsid w:val="00ED5EDF"/>
    <w:rsid w:val="00EF0A33"/>
    <w:rsid w:val="00F016A0"/>
    <w:rsid w:val="00F13668"/>
    <w:rsid w:val="00F13EAB"/>
    <w:rsid w:val="00F13F99"/>
    <w:rsid w:val="00F16020"/>
    <w:rsid w:val="00F1758F"/>
    <w:rsid w:val="00F2426C"/>
    <w:rsid w:val="00F44628"/>
    <w:rsid w:val="00F6226E"/>
    <w:rsid w:val="00F64C08"/>
    <w:rsid w:val="00F91E34"/>
    <w:rsid w:val="00F94C57"/>
    <w:rsid w:val="00F97AE2"/>
    <w:rsid w:val="00FA2582"/>
    <w:rsid w:val="00FB20F1"/>
    <w:rsid w:val="00FD48B1"/>
    <w:rsid w:val="00FE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31B7"/>
  <w15:docId w15:val="{6D1F9FAB-1ECA-4575-A26A-B7E76F9B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0C"/>
  </w:style>
  <w:style w:type="paragraph" w:styleId="Heading1">
    <w:name w:val="heading 1"/>
    <w:basedOn w:val="Normal"/>
    <w:next w:val="Normal"/>
    <w:link w:val="Heading1Char"/>
    <w:uiPriority w:val="9"/>
    <w:qFormat/>
    <w:rsid w:val="00894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C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49"/>
    <w:pPr>
      <w:ind w:left="720"/>
      <w:contextualSpacing/>
    </w:pPr>
  </w:style>
  <w:style w:type="character" w:styleId="Hyperlink">
    <w:name w:val="Hyperlink"/>
    <w:basedOn w:val="DefaultParagraphFont"/>
    <w:uiPriority w:val="99"/>
    <w:unhideWhenUsed/>
    <w:rsid w:val="00437C49"/>
    <w:rPr>
      <w:color w:val="0000FF" w:themeColor="hyperlink"/>
      <w:u w:val="single"/>
    </w:rPr>
  </w:style>
  <w:style w:type="character" w:customStyle="1" w:styleId="Heading1Char">
    <w:name w:val="Heading 1 Char"/>
    <w:basedOn w:val="DefaultParagraphFont"/>
    <w:link w:val="Heading1"/>
    <w:uiPriority w:val="9"/>
    <w:rsid w:val="00894E4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94E46"/>
    <w:pPr>
      <w:spacing w:line="276" w:lineRule="auto"/>
      <w:outlineLvl w:val="9"/>
    </w:pPr>
    <w:rPr>
      <w:lang w:eastAsia="en-US"/>
    </w:rPr>
  </w:style>
  <w:style w:type="paragraph" w:styleId="TOC2">
    <w:name w:val="toc 2"/>
    <w:basedOn w:val="Normal"/>
    <w:next w:val="Normal"/>
    <w:autoRedefine/>
    <w:uiPriority w:val="39"/>
    <w:unhideWhenUsed/>
    <w:qFormat/>
    <w:rsid w:val="00894E46"/>
    <w:pPr>
      <w:spacing w:after="100"/>
      <w:ind w:left="220"/>
    </w:pPr>
  </w:style>
  <w:style w:type="paragraph" w:styleId="BalloonText">
    <w:name w:val="Balloon Text"/>
    <w:basedOn w:val="Normal"/>
    <w:link w:val="BalloonTextChar"/>
    <w:uiPriority w:val="99"/>
    <w:semiHidden/>
    <w:unhideWhenUsed/>
    <w:rsid w:val="00894E46"/>
    <w:rPr>
      <w:rFonts w:ascii="Tahoma" w:hAnsi="Tahoma" w:cs="Tahoma"/>
      <w:sz w:val="16"/>
      <w:szCs w:val="16"/>
    </w:rPr>
  </w:style>
  <w:style w:type="character" w:customStyle="1" w:styleId="BalloonTextChar">
    <w:name w:val="Balloon Text Char"/>
    <w:basedOn w:val="DefaultParagraphFont"/>
    <w:link w:val="BalloonText"/>
    <w:uiPriority w:val="99"/>
    <w:semiHidden/>
    <w:rsid w:val="00894E46"/>
    <w:rPr>
      <w:rFonts w:ascii="Tahoma" w:hAnsi="Tahoma" w:cs="Tahoma"/>
      <w:sz w:val="16"/>
      <w:szCs w:val="16"/>
    </w:rPr>
  </w:style>
  <w:style w:type="paragraph" w:styleId="TOC1">
    <w:name w:val="toc 1"/>
    <w:basedOn w:val="Normal"/>
    <w:next w:val="Normal"/>
    <w:autoRedefine/>
    <w:uiPriority w:val="39"/>
    <w:unhideWhenUsed/>
    <w:qFormat/>
    <w:rsid w:val="00894E46"/>
    <w:pPr>
      <w:spacing w:after="100" w:line="276" w:lineRule="auto"/>
    </w:pPr>
    <w:rPr>
      <w:lang w:eastAsia="en-US"/>
    </w:rPr>
  </w:style>
  <w:style w:type="paragraph" w:styleId="TOC3">
    <w:name w:val="toc 3"/>
    <w:basedOn w:val="Normal"/>
    <w:next w:val="Normal"/>
    <w:autoRedefine/>
    <w:uiPriority w:val="39"/>
    <w:semiHidden/>
    <w:unhideWhenUsed/>
    <w:qFormat/>
    <w:rsid w:val="00894E46"/>
    <w:pPr>
      <w:spacing w:after="100" w:line="276" w:lineRule="auto"/>
      <w:ind w:left="440"/>
    </w:pPr>
    <w:rPr>
      <w:lang w:eastAsia="en-US"/>
    </w:rPr>
  </w:style>
  <w:style w:type="paragraph" w:styleId="Header">
    <w:name w:val="header"/>
    <w:basedOn w:val="Normal"/>
    <w:link w:val="HeaderChar"/>
    <w:uiPriority w:val="99"/>
    <w:semiHidden/>
    <w:unhideWhenUsed/>
    <w:rsid w:val="00894E46"/>
    <w:pPr>
      <w:tabs>
        <w:tab w:val="center" w:pos="4680"/>
        <w:tab w:val="right" w:pos="9360"/>
      </w:tabs>
    </w:pPr>
  </w:style>
  <w:style w:type="character" w:customStyle="1" w:styleId="HeaderChar">
    <w:name w:val="Header Char"/>
    <w:basedOn w:val="DefaultParagraphFont"/>
    <w:link w:val="Header"/>
    <w:uiPriority w:val="99"/>
    <w:semiHidden/>
    <w:rsid w:val="00894E46"/>
  </w:style>
  <w:style w:type="paragraph" w:styleId="Footer">
    <w:name w:val="footer"/>
    <w:basedOn w:val="Normal"/>
    <w:link w:val="FooterChar"/>
    <w:uiPriority w:val="99"/>
    <w:unhideWhenUsed/>
    <w:rsid w:val="00894E46"/>
    <w:pPr>
      <w:tabs>
        <w:tab w:val="center" w:pos="4680"/>
        <w:tab w:val="right" w:pos="9360"/>
      </w:tabs>
    </w:pPr>
  </w:style>
  <w:style w:type="character" w:customStyle="1" w:styleId="FooterChar">
    <w:name w:val="Footer Char"/>
    <w:basedOn w:val="DefaultParagraphFont"/>
    <w:link w:val="Footer"/>
    <w:uiPriority w:val="99"/>
    <w:rsid w:val="00894E46"/>
  </w:style>
  <w:style w:type="character" w:customStyle="1" w:styleId="Heading2Char">
    <w:name w:val="Heading 2 Char"/>
    <w:basedOn w:val="DefaultParagraphFont"/>
    <w:link w:val="Heading2"/>
    <w:uiPriority w:val="9"/>
    <w:rsid w:val="002D5C7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D5C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5C7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5C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C7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146D9"/>
  </w:style>
  <w:style w:type="paragraph" w:styleId="FootnoteText">
    <w:name w:val="footnote text"/>
    <w:basedOn w:val="Normal"/>
    <w:link w:val="FootnoteTextChar"/>
    <w:uiPriority w:val="99"/>
    <w:semiHidden/>
    <w:unhideWhenUsed/>
    <w:rsid w:val="00D176EE"/>
    <w:rPr>
      <w:sz w:val="20"/>
      <w:szCs w:val="20"/>
    </w:rPr>
  </w:style>
  <w:style w:type="character" w:customStyle="1" w:styleId="FootnoteTextChar">
    <w:name w:val="Footnote Text Char"/>
    <w:basedOn w:val="DefaultParagraphFont"/>
    <w:link w:val="FootnoteText"/>
    <w:uiPriority w:val="99"/>
    <w:semiHidden/>
    <w:rsid w:val="00D176EE"/>
    <w:rPr>
      <w:sz w:val="20"/>
      <w:szCs w:val="20"/>
    </w:rPr>
  </w:style>
  <w:style w:type="character" w:styleId="FootnoteReference">
    <w:name w:val="footnote reference"/>
    <w:basedOn w:val="DefaultParagraphFont"/>
    <w:uiPriority w:val="99"/>
    <w:semiHidden/>
    <w:unhideWhenUsed/>
    <w:rsid w:val="00D176EE"/>
    <w:rPr>
      <w:vertAlign w:val="superscript"/>
    </w:rPr>
  </w:style>
  <w:style w:type="character" w:styleId="FollowedHyperlink">
    <w:name w:val="FollowedHyperlink"/>
    <w:basedOn w:val="DefaultParagraphFont"/>
    <w:uiPriority w:val="99"/>
    <w:semiHidden/>
    <w:unhideWhenUsed/>
    <w:rsid w:val="00B13A8B"/>
    <w:rPr>
      <w:color w:val="800080" w:themeColor="followedHyperlink"/>
      <w:u w:val="single"/>
    </w:rPr>
  </w:style>
  <w:style w:type="paragraph" w:customStyle="1" w:styleId="Default">
    <w:name w:val="Default"/>
    <w:rsid w:val="00B13A8B"/>
    <w:pPr>
      <w:autoSpaceDE w:val="0"/>
      <w:autoSpaceDN w:val="0"/>
      <w:adjustRightInd w:val="0"/>
    </w:pPr>
    <w:rPr>
      <w:rFonts w:ascii="Arial" w:hAnsi="Arial" w:cs="Arial"/>
      <w:color w:val="000000"/>
      <w:sz w:val="24"/>
      <w:szCs w:val="24"/>
    </w:rPr>
  </w:style>
  <w:style w:type="paragraph" w:customStyle="1" w:styleId="Heading11">
    <w:name w:val="Heading 11"/>
    <w:next w:val="Normal"/>
    <w:rsid w:val="00E20387"/>
    <w:pPr>
      <w:keepNext/>
      <w:keepLines/>
      <w:spacing w:before="480"/>
    </w:pPr>
    <w:rPr>
      <w:rFonts w:ascii="Times New Roman Bold" w:eastAsia="ヒラギノ角ゴ Pro W3" w:hAnsi="Times New Roman Bold" w:cs="Times New Roman"/>
      <w:color w:val="365F91"/>
      <w:sz w:val="28"/>
      <w:szCs w:val="20"/>
    </w:rPr>
  </w:style>
  <w:style w:type="character" w:styleId="CommentReference">
    <w:name w:val="annotation reference"/>
    <w:basedOn w:val="DefaultParagraphFont"/>
    <w:uiPriority w:val="99"/>
    <w:semiHidden/>
    <w:unhideWhenUsed/>
    <w:rsid w:val="00031A02"/>
    <w:rPr>
      <w:sz w:val="16"/>
      <w:szCs w:val="16"/>
    </w:rPr>
  </w:style>
  <w:style w:type="paragraph" w:styleId="CommentText">
    <w:name w:val="annotation text"/>
    <w:basedOn w:val="Normal"/>
    <w:link w:val="CommentTextChar"/>
    <w:uiPriority w:val="99"/>
    <w:semiHidden/>
    <w:unhideWhenUsed/>
    <w:rsid w:val="00031A02"/>
    <w:rPr>
      <w:sz w:val="20"/>
      <w:szCs w:val="20"/>
    </w:rPr>
  </w:style>
  <w:style w:type="character" w:customStyle="1" w:styleId="CommentTextChar">
    <w:name w:val="Comment Text Char"/>
    <w:basedOn w:val="DefaultParagraphFont"/>
    <w:link w:val="CommentText"/>
    <w:uiPriority w:val="99"/>
    <w:semiHidden/>
    <w:rsid w:val="00031A02"/>
    <w:rPr>
      <w:sz w:val="20"/>
      <w:szCs w:val="20"/>
    </w:rPr>
  </w:style>
  <w:style w:type="paragraph" w:styleId="CommentSubject">
    <w:name w:val="annotation subject"/>
    <w:basedOn w:val="CommentText"/>
    <w:next w:val="CommentText"/>
    <w:link w:val="CommentSubjectChar"/>
    <w:uiPriority w:val="99"/>
    <w:semiHidden/>
    <w:unhideWhenUsed/>
    <w:rsid w:val="00031A02"/>
    <w:rPr>
      <w:b/>
      <w:bCs/>
    </w:rPr>
  </w:style>
  <w:style w:type="character" w:customStyle="1" w:styleId="CommentSubjectChar">
    <w:name w:val="Comment Subject Char"/>
    <w:basedOn w:val="CommentTextChar"/>
    <w:link w:val="CommentSubject"/>
    <w:uiPriority w:val="99"/>
    <w:semiHidden/>
    <w:rsid w:val="00031A02"/>
    <w:rPr>
      <w:b/>
      <w:bCs/>
      <w:sz w:val="20"/>
      <w:szCs w:val="20"/>
    </w:rPr>
  </w:style>
  <w:style w:type="table" w:styleId="TableGrid">
    <w:name w:val="Table Grid"/>
    <w:basedOn w:val="TableNormal"/>
    <w:uiPriority w:val="59"/>
    <w:rsid w:val="00DD136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2B2BC0"/>
  </w:style>
  <w:style w:type="character" w:customStyle="1" w:styleId="DateChar">
    <w:name w:val="Date Char"/>
    <w:basedOn w:val="DefaultParagraphFont"/>
    <w:link w:val="Date"/>
    <w:uiPriority w:val="99"/>
    <w:semiHidden/>
    <w:rsid w:val="002B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5322">
      <w:bodyDiv w:val="1"/>
      <w:marLeft w:val="0"/>
      <w:marRight w:val="0"/>
      <w:marTop w:val="0"/>
      <w:marBottom w:val="0"/>
      <w:divBdr>
        <w:top w:val="none" w:sz="0" w:space="0" w:color="auto"/>
        <w:left w:val="none" w:sz="0" w:space="0" w:color="auto"/>
        <w:bottom w:val="none" w:sz="0" w:space="0" w:color="auto"/>
        <w:right w:val="none" w:sz="0" w:space="0" w:color="auto"/>
      </w:divBdr>
    </w:div>
    <w:div w:id="456529691">
      <w:bodyDiv w:val="1"/>
      <w:marLeft w:val="0"/>
      <w:marRight w:val="0"/>
      <w:marTop w:val="0"/>
      <w:marBottom w:val="0"/>
      <w:divBdr>
        <w:top w:val="none" w:sz="0" w:space="0" w:color="auto"/>
        <w:left w:val="none" w:sz="0" w:space="0" w:color="auto"/>
        <w:bottom w:val="none" w:sz="0" w:space="0" w:color="auto"/>
        <w:right w:val="none" w:sz="0" w:space="0" w:color="auto"/>
      </w:divBdr>
    </w:div>
    <w:div w:id="504856168">
      <w:bodyDiv w:val="1"/>
      <w:marLeft w:val="0"/>
      <w:marRight w:val="0"/>
      <w:marTop w:val="0"/>
      <w:marBottom w:val="0"/>
      <w:divBdr>
        <w:top w:val="none" w:sz="0" w:space="0" w:color="auto"/>
        <w:left w:val="none" w:sz="0" w:space="0" w:color="auto"/>
        <w:bottom w:val="none" w:sz="0" w:space="0" w:color="auto"/>
        <w:right w:val="none" w:sz="0" w:space="0" w:color="auto"/>
      </w:divBdr>
    </w:div>
    <w:div w:id="651057810">
      <w:bodyDiv w:val="1"/>
      <w:marLeft w:val="0"/>
      <w:marRight w:val="0"/>
      <w:marTop w:val="0"/>
      <w:marBottom w:val="0"/>
      <w:divBdr>
        <w:top w:val="none" w:sz="0" w:space="0" w:color="auto"/>
        <w:left w:val="none" w:sz="0" w:space="0" w:color="auto"/>
        <w:bottom w:val="none" w:sz="0" w:space="0" w:color="auto"/>
        <w:right w:val="none" w:sz="0" w:space="0" w:color="auto"/>
      </w:divBdr>
    </w:div>
    <w:div w:id="1185629688">
      <w:bodyDiv w:val="1"/>
      <w:marLeft w:val="0"/>
      <w:marRight w:val="0"/>
      <w:marTop w:val="0"/>
      <w:marBottom w:val="0"/>
      <w:divBdr>
        <w:top w:val="none" w:sz="0" w:space="0" w:color="auto"/>
        <w:left w:val="none" w:sz="0" w:space="0" w:color="auto"/>
        <w:bottom w:val="none" w:sz="0" w:space="0" w:color="auto"/>
        <w:right w:val="none" w:sz="0" w:space="0" w:color="auto"/>
      </w:divBdr>
    </w:div>
    <w:div w:id="1253665801">
      <w:bodyDiv w:val="1"/>
      <w:marLeft w:val="0"/>
      <w:marRight w:val="0"/>
      <w:marTop w:val="0"/>
      <w:marBottom w:val="0"/>
      <w:divBdr>
        <w:top w:val="none" w:sz="0" w:space="0" w:color="auto"/>
        <w:left w:val="none" w:sz="0" w:space="0" w:color="auto"/>
        <w:bottom w:val="none" w:sz="0" w:space="0" w:color="auto"/>
        <w:right w:val="none" w:sz="0" w:space="0" w:color="auto"/>
      </w:divBdr>
    </w:div>
    <w:div w:id="1276328693">
      <w:bodyDiv w:val="1"/>
      <w:marLeft w:val="0"/>
      <w:marRight w:val="0"/>
      <w:marTop w:val="0"/>
      <w:marBottom w:val="0"/>
      <w:divBdr>
        <w:top w:val="none" w:sz="0" w:space="0" w:color="auto"/>
        <w:left w:val="none" w:sz="0" w:space="0" w:color="auto"/>
        <w:bottom w:val="none" w:sz="0" w:space="0" w:color="auto"/>
        <w:right w:val="none" w:sz="0" w:space="0" w:color="auto"/>
      </w:divBdr>
    </w:div>
    <w:div w:id="13978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port_x0020_Title xmlns="298b8619-eb05-4ab3-b03e-ec80de9bc402">Researching EHR Systems with a Patient Education Component</Report_x0020_Title>
    <Associate_x0020_Fellow_x0020_Name xmlns="298b8619-eb05-4ab3-b03e-ec80de9bc402">Burgess, Kristen</Associate_x0020_Fellow_x0020_Name>
    <Fellowship_x0020_Year xmlns="298b8619-eb05-4ab3-b03e-ec80de9bc402">2010-2011</Fellowship_x0020_Year>
    <Format xmlns="298b8619-eb05-4ab3-b03e-ec80de9bc402">Report</Format>
    <Project_x0020_Sponsor_x0028_s_x0029_ xmlns="298b8619-eb05-4ab3-b03e-ec80de9bc402">Backus, Joyce; Dennis, Stephanie; Miller, Naomi</Project_x0020_Sponsor_x0028_s_x0029_>
    <test_x002d_projectlead_x002d_name xmlns="298b8619-eb05-4ab3-b03e-ec80de9bc402">
      <UserInfo>
        <DisplayName/>
        <AccountId xsi:nil="true"/>
        <AccountType/>
      </UserInfo>
    </test_x002d_projectlead_x002d_name>
    <Division xmlns="298b8619-eb05-4ab3-b03e-ec80de9bc402">
      <Value>Library Operations: Public Services</Value>
    </Division>
    <Publication_x0020_permission xmlns="298b8619-eb05-4ab3-b03e-ec80de9bc40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768E-E57F-42CC-8837-05A290700C7D}">
  <ds:schemaRefs>
    <ds:schemaRef ds:uri="http://schemas.microsoft.com/sharepoint/v3/contenttype/forms"/>
  </ds:schemaRefs>
</ds:datastoreItem>
</file>

<file path=customXml/itemProps2.xml><?xml version="1.0" encoding="utf-8"?>
<ds:datastoreItem xmlns:ds="http://schemas.openxmlformats.org/officeDocument/2006/customXml" ds:itemID="{D6B483D7-8941-4724-993D-40FE50308DDD}">
  <ds:schemaRef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298b8619-eb05-4ab3-b03e-ec80de9bc402"/>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FC2DB23-3867-405B-AA17-E9FD9A94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4BE44-7FB7-4E82-AF71-44AD48AA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RESEARCHING EHR SYSTEMS WITH A PATIENT EDUCATION COMPONENT</vt:lpstr>
    </vt:vector>
  </TitlesOfParts>
  <Company>National Library of Medicine</Company>
  <LinksUpToDate>false</LinksUpToDate>
  <CharactersWithSpaces>36631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EHR SYSTEMS WITH A PATIENT EDUCATION COMPONENT</dc:title>
  <dc:subject/>
  <dc:creator>Kristen Lynn Burgess</dc:creator>
  <cp:keywords/>
  <dc:description/>
  <cp:lastModifiedBy>Banh, Philip (NIH/NLM) [C]</cp:lastModifiedBy>
  <cp:revision>6</cp:revision>
  <cp:lastPrinted>2011-02-04T19:59:00Z</cp:lastPrinted>
  <dcterms:created xsi:type="dcterms:W3CDTF">2016-11-30T21:43:00Z</dcterms:created>
  <dcterms:modified xsi:type="dcterms:W3CDTF">2016-12-01T14:05:00Z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y fmtid="{D5CDD505-2E9C-101B-9397-08002B2CF9AE}" pid="3" name="SaveToReportHistory">
    <vt:bool>false</vt:bool>
  </property>
  <property fmtid="{D5CDD505-2E9C-101B-9397-08002B2CF9AE}" pid="4" name="Order">
    <vt:r8>25500</vt:r8>
  </property>
  <property fmtid="{D5CDD505-2E9C-101B-9397-08002B2CF9AE}" pid="5" name="_CopySource">
    <vt:lpwstr/>
  </property>
</Properties>
</file>